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BB" w:rsidRDefault="007430BB" w:rsidP="00C235E3">
      <w:pPr>
        <w:jc w:val="right"/>
        <w:rPr>
          <w:rFonts w:ascii="Times New Roman" w:hAnsi="Times New Roman"/>
          <w:sz w:val="28"/>
          <w:szCs w:val="28"/>
        </w:rPr>
      </w:pPr>
    </w:p>
    <w:p w:rsidR="00C235E3" w:rsidRPr="00974316" w:rsidRDefault="00C235E3" w:rsidP="00C235E3">
      <w:pPr>
        <w:jc w:val="center"/>
        <w:rPr>
          <w:rFonts w:ascii="Times New Roman" w:hAnsi="Times New Roman"/>
          <w:b/>
          <w:sz w:val="28"/>
          <w:szCs w:val="28"/>
        </w:rPr>
      </w:pPr>
      <w:r w:rsidRPr="00974316">
        <w:rPr>
          <w:rFonts w:ascii="Times New Roman" w:hAnsi="Times New Roman"/>
          <w:b/>
          <w:sz w:val="28"/>
          <w:szCs w:val="28"/>
        </w:rPr>
        <w:t>Обеспечение доступности для инвалидов услуг организаций торговли и общественного питания</w:t>
      </w:r>
    </w:p>
    <w:p w:rsidR="00C235E3" w:rsidRPr="00C235E3" w:rsidRDefault="00C235E3" w:rsidP="00C235E3">
      <w:pPr>
        <w:jc w:val="center"/>
        <w:rPr>
          <w:rFonts w:ascii="Times New Roman" w:hAnsi="Times New Roman"/>
          <w:sz w:val="28"/>
          <w:szCs w:val="28"/>
        </w:rPr>
      </w:pPr>
    </w:p>
    <w:p w:rsidR="00C235E3" w:rsidRPr="00C235E3" w:rsidRDefault="00C235E3" w:rsidP="00C235E3">
      <w:pPr>
        <w:pStyle w:val="a3"/>
        <w:rPr>
          <w:rFonts w:ascii="Times New Roman" w:hAnsi="Times New Roman"/>
          <w:sz w:val="28"/>
          <w:szCs w:val="28"/>
        </w:rPr>
      </w:pPr>
      <w:r w:rsidRPr="00C235E3">
        <w:rPr>
          <w:rFonts w:ascii="Times New Roman" w:hAnsi="Times New Roman"/>
          <w:sz w:val="28"/>
          <w:szCs w:val="28"/>
        </w:rPr>
        <w:t>Обеспечение доступности для инвалидов услуг организаций торговли</w:t>
      </w:r>
    </w:p>
    <w:p w:rsidR="00C235E3" w:rsidRPr="00C235E3" w:rsidRDefault="00C235E3" w:rsidP="00C235E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235E3">
        <w:rPr>
          <w:rFonts w:ascii="Times New Roman" w:hAnsi="Times New Roman"/>
          <w:sz w:val="28"/>
          <w:szCs w:val="28"/>
        </w:rPr>
        <w:t>редприятия розничной торговли, открытой сети общественного питания и бытового обслуживания населения (в дальнейшем - предприятия сервиса) являются наиболее массовой группой общественных зданий, где необходимо создание условий доступности для маломобильных групп населения.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Обеспечение доступности для инвалидов помещений торговых организаций регулируется Сводом правил «Доступность зданий и сооружений для маломобильных групп населения. Актуализированная редакция СНиП 35-01-2001»,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Особую актуальность в крупных городах приобретает требование выделения специальных мест для личного транспорта инвалидов на автостоянках при предприятиях розничной торговли. Места для транспортных средств инвалидов должны размещаться не далее 50 м от входов, доступных для маломобильных покупателей.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Возможны два варианта проектирования внутренней архитектурной среды для организации обслуживания маломобильных покупателей на предприятиях торговли.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Вариант "А". Обеспечивается доступность всех помещений торговой организации для инвалидов. При этом следует предусматривать устройство общих универсальных путей движения, предназначенных для использования всеми категориями населения (здоровыми, инвалидами и маломобильными лицами) и приспособление для нужд лиц с нарушением здоровья, специальных мест обслуживания из состава общего числа таких мест.</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 Вариант "Б". Создание условий для покупки товаров полного ассортимента в специально выделенном помещении для маломобильных покупателей. Дополнительные помещения или специальные зоны для обслуживания данного контингента должны размещаться в удобной связи с наружными входами.</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Применяемое торговое оборудование должно обеспечивать доступность всем контингентам покупателей, в том числе лицам на креслах-колясках, для выбора товара. При этом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инвалидов на костылях, а также </w:t>
      </w:r>
      <w:r w:rsidRPr="00C235E3">
        <w:rPr>
          <w:rFonts w:ascii="Times New Roman" w:hAnsi="Times New Roman"/>
          <w:sz w:val="28"/>
          <w:szCs w:val="28"/>
        </w:rPr>
        <w:lastRenderedPageBreak/>
        <w:t xml:space="preserve">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 Ширина прохода для универсамов, супермаркетов и оптовых рынков (торговая площадь свыше 650 м2) должна быть не менее 2 м.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пола.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СП 136.13330.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С 1 января 2016 г. </w:t>
      </w:r>
      <w:r>
        <w:rPr>
          <w:rFonts w:ascii="Times New Roman" w:hAnsi="Times New Roman"/>
          <w:sz w:val="28"/>
          <w:szCs w:val="28"/>
        </w:rPr>
        <w:t xml:space="preserve"> вступила </w:t>
      </w:r>
      <w:r w:rsidRPr="00C235E3">
        <w:rPr>
          <w:rFonts w:ascii="Times New Roman" w:hAnsi="Times New Roman"/>
          <w:sz w:val="28"/>
          <w:szCs w:val="28"/>
        </w:rPr>
        <w:t xml:space="preserve">в силу новая редакция ст. 15 Федерального закона «О социальной защите инвалидов в РФ», согласно которой  работники 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торговли это означает, что, например, в магазинах самообслуживания необходимо помогать инвалидам-колясочникам доставать товар с полок, до которых инвалид не может дотянуться. Инвалидам по зрению следует зачитывать информацию о цене и характеристиках товаров. </w:t>
      </w:r>
    </w:p>
    <w:p w:rsidR="00C235E3" w:rsidRPr="00C235E3" w:rsidRDefault="00C235E3" w:rsidP="00C235E3">
      <w:pPr>
        <w:spacing w:after="0" w:line="240" w:lineRule="auto"/>
        <w:ind w:firstLine="709"/>
        <w:jc w:val="both"/>
        <w:rPr>
          <w:rFonts w:ascii="Times New Roman" w:hAnsi="Times New Roman"/>
          <w:sz w:val="28"/>
          <w:szCs w:val="28"/>
        </w:rPr>
      </w:pPr>
    </w:p>
    <w:p w:rsidR="00C235E3" w:rsidRDefault="00C235E3" w:rsidP="00C235E3">
      <w:pPr>
        <w:spacing w:after="0" w:line="240" w:lineRule="auto"/>
        <w:ind w:firstLine="709"/>
        <w:jc w:val="center"/>
        <w:rPr>
          <w:rFonts w:ascii="Times New Roman" w:hAnsi="Times New Roman"/>
          <w:sz w:val="28"/>
          <w:szCs w:val="28"/>
        </w:rPr>
      </w:pPr>
      <w:r w:rsidRPr="00C235E3">
        <w:rPr>
          <w:rFonts w:ascii="Times New Roman" w:hAnsi="Times New Roman"/>
          <w:sz w:val="28"/>
          <w:szCs w:val="28"/>
        </w:rPr>
        <w:t>Обеспечение доступности для инвалидов услуг организаций общественного питания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Обеспечение доступности для инвалидов помещений организаций общественного питания регулируется Сводом правил «Доступность зданий и сооружений для маломобильных групп населения. Актуализированная </w:t>
      </w:r>
      <w:r w:rsidRPr="00C235E3">
        <w:rPr>
          <w:rFonts w:ascii="Times New Roman" w:hAnsi="Times New Roman"/>
          <w:sz w:val="28"/>
          <w:szCs w:val="28"/>
        </w:rPr>
        <w:lastRenderedPageBreak/>
        <w:t>редакция СНиП 35-01-2001», применение которого носит обязательный характер, и Сводом правил «Общественные здания и сооружения, доступные маломобильным группам населения. Правила проектирования», который носит добровольный характер и устанавливает повышенные требования.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Ряд требований, направленных на устранение существующих препятствий и барьеров для беспрепятственного доступа инвалидов, установлен для внутренней планировки предприятий питания: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 -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на каждое место;</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СП 136.13330;</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СП 59.13330 и рекомендациями СП 136.13330.</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Также установлен ряд требований к порядку предоставления информации посетителям из числа инвалидов: </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меню должно иметь контрастные надписи простым шрифтом и шрифтом Брайля;</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в качестве альтернативы может использоваться меню предприятия в версии для слабовидящих, доступной в сети Интернет;</w:t>
      </w:r>
    </w:p>
    <w:p w:rsidR="00C235E3" w:rsidRP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специализированные средства информации для МГН должны решаться в соподчинении с основной дизайнерской концепцией интерьера.</w:t>
      </w:r>
    </w:p>
    <w:p w:rsidR="00C235E3" w:rsidRDefault="00C235E3" w:rsidP="00C235E3">
      <w:pPr>
        <w:spacing w:after="0" w:line="240" w:lineRule="auto"/>
        <w:ind w:firstLine="709"/>
        <w:jc w:val="both"/>
        <w:rPr>
          <w:rFonts w:ascii="Times New Roman" w:hAnsi="Times New Roman"/>
          <w:sz w:val="28"/>
          <w:szCs w:val="28"/>
        </w:rPr>
      </w:pPr>
      <w:r w:rsidRPr="00C235E3">
        <w:rPr>
          <w:rFonts w:ascii="Times New Roman" w:hAnsi="Times New Roman"/>
          <w:sz w:val="28"/>
          <w:szCs w:val="28"/>
        </w:rPr>
        <w:t xml:space="preserve">С 1 января 2016 г. вступает в силу новая редакция ст. 15 Федерального закона «О социальной защите инвалидов в РФ», согласно которой  работники </w:t>
      </w:r>
      <w:r w:rsidRPr="00C235E3">
        <w:rPr>
          <w:rFonts w:ascii="Times New Roman" w:hAnsi="Times New Roman"/>
          <w:sz w:val="28"/>
          <w:szCs w:val="28"/>
        </w:rPr>
        <w:lastRenderedPageBreak/>
        <w:t>организаций, предоставляющих услуги населению, обязаны оказывать помощь инвалидам в преодолении барьеров, мешающих получению ими услуг наравне с другими лицами. Применительно к организациям общественного питания это означает, что, например, на предприятиях самообслуживания, при необходимости, инвалиду следует оказывать помощь при выборе блюд и доставки их к месту приема пищи.</w:t>
      </w:r>
    </w:p>
    <w:p w:rsidR="00EB3C4C" w:rsidRDefault="00EB3C4C" w:rsidP="00C235E3">
      <w:pPr>
        <w:spacing w:after="0" w:line="240" w:lineRule="auto"/>
        <w:ind w:firstLine="709"/>
        <w:jc w:val="both"/>
        <w:rPr>
          <w:rFonts w:ascii="Times New Roman" w:hAnsi="Times New Roman"/>
          <w:sz w:val="28"/>
          <w:szCs w:val="28"/>
        </w:rPr>
      </w:pP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Обеспечение доступности для инвалидов услуг организаций торговли и общественного питания</w:t>
      </w:r>
    </w:p>
    <w:p w:rsidR="00EB3C4C" w:rsidRPr="00EB3C4C" w:rsidRDefault="00EB3C4C" w:rsidP="00EB3C4C">
      <w:pPr>
        <w:spacing w:after="0" w:line="240" w:lineRule="auto"/>
        <w:ind w:left="567"/>
        <w:contextualSpacing/>
        <w:jc w:val="center"/>
        <w:rPr>
          <w:rFonts w:ascii="Times New Roman" w:eastAsia="Times New Roman" w:hAnsi="Times New Roman"/>
          <w:b/>
          <w:sz w:val="28"/>
          <w:szCs w:val="28"/>
        </w:rPr>
      </w:pPr>
      <w:r w:rsidRPr="00EB3C4C">
        <w:rPr>
          <w:rFonts w:ascii="Times New Roman" w:eastAsia="Times New Roman" w:hAnsi="Times New Roman"/>
          <w:b/>
          <w:sz w:val="28"/>
          <w:szCs w:val="28"/>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EB3C4C" w:rsidRPr="00EB3C4C" w:rsidRDefault="00EB3C4C" w:rsidP="00EB3C4C">
      <w:pPr>
        <w:spacing w:after="0" w:line="240" w:lineRule="auto"/>
        <w:ind w:left="567"/>
        <w:contextualSpacing/>
        <w:jc w:val="center"/>
        <w:rPr>
          <w:rFonts w:ascii="Times New Roman" w:eastAsia="Times New Roman" w:hAnsi="Times New Roman"/>
          <w:b/>
          <w:sz w:val="28"/>
          <w:szCs w:val="28"/>
        </w:rPr>
      </w:pP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(Извлечения положений, которые носят обязательный характер)</w:t>
      </w:r>
    </w:p>
    <w:p w:rsidR="00EB3C4C" w:rsidRPr="00EB3C4C" w:rsidRDefault="00EB3C4C" w:rsidP="00EB3C4C">
      <w:pPr>
        <w:spacing w:after="0" w:line="240" w:lineRule="auto"/>
        <w:ind w:firstLine="567"/>
        <w:jc w:val="both"/>
        <w:rPr>
          <w:rFonts w:ascii="Times New Roman" w:eastAsia="Times New Roman" w:hAnsi="Times New Roman"/>
          <w:b/>
          <w:bCs/>
          <w:sz w:val="28"/>
          <w:szCs w:val="28"/>
          <w:lang w:eastAsia="ru-RU"/>
        </w:rPr>
      </w:pPr>
    </w:p>
    <w:p w:rsidR="00EB3C4C" w:rsidRPr="00EB3C4C" w:rsidRDefault="00EB3C4C" w:rsidP="00EB3C4C">
      <w:pPr>
        <w:spacing w:after="0" w:line="240" w:lineRule="auto"/>
        <w:ind w:firstLine="567"/>
        <w:jc w:val="both"/>
        <w:rPr>
          <w:rFonts w:ascii="Times New Roman" w:eastAsia="Times New Roman" w:hAnsi="Times New Roman"/>
          <w:b/>
          <w:bCs/>
          <w:sz w:val="28"/>
          <w:szCs w:val="28"/>
          <w:lang w:eastAsia="ru-RU"/>
        </w:rPr>
      </w:pPr>
      <w:r w:rsidRPr="00EB3C4C">
        <w:rPr>
          <w:rFonts w:ascii="Times New Roman" w:eastAsia="Times New Roman" w:hAnsi="Times New Roman"/>
          <w:b/>
          <w:bCs/>
          <w:sz w:val="28"/>
          <w:szCs w:val="28"/>
          <w:lang w:eastAsia="ru-RU"/>
        </w:rPr>
        <w:t xml:space="preserve">7.4 Здания и помещения сервисного обслуживания населения </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b/>
          <w:bCs/>
          <w:sz w:val="28"/>
          <w:szCs w:val="28"/>
          <w:lang w:eastAsia="ru-RU"/>
        </w:rPr>
        <w:t>Предприятия торговли</w:t>
      </w:r>
      <w:r w:rsidRPr="00EB3C4C">
        <w:rPr>
          <w:rFonts w:ascii="Times New Roman" w:eastAsia="Times New Roman" w:hAnsi="Times New Roman"/>
          <w:sz w:val="28"/>
          <w:szCs w:val="28"/>
          <w:lang w:eastAsia="ru-RU"/>
        </w:rPr>
        <w:t xml:space="preserve"> </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49" w:type="dxa"/>
        <w:tblCellSpacing w:w="15" w:type="dxa"/>
        <w:tblCellMar>
          <w:top w:w="15" w:type="dxa"/>
          <w:left w:w="15" w:type="dxa"/>
          <w:bottom w:w="15" w:type="dxa"/>
          <w:right w:w="15" w:type="dxa"/>
        </w:tblCellMar>
        <w:tblLook w:val="04A0"/>
      </w:tblPr>
      <w:tblGrid>
        <w:gridCol w:w="4641"/>
        <w:gridCol w:w="4804"/>
        <w:gridCol w:w="4804"/>
      </w:tblGrid>
      <w:tr w:rsidR="00EB3C4C" w:rsidRPr="00002BC2" w:rsidTr="00F54EB9">
        <w:trPr>
          <w:trHeight w:val="15"/>
          <w:tblCellSpacing w:w="15" w:type="dxa"/>
        </w:trPr>
        <w:tc>
          <w:tcPr>
            <w:tcW w:w="9400" w:type="dxa"/>
            <w:gridSpan w:val="2"/>
            <w:vAlign w:val="center"/>
            <w:hideMark/>
          </w:tcPr>
          <w:p w:rsidR="00EB3C4C" w:rsidRPr="00EB3C4C" w:rsidRDefault="00EB3C4C" w:rsidP="00EB3C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B3C4C">
              <w:rPr>
                <w:rFonts w:ascii="Times New Roman" w:eastAsia="Times New Roman" w:hAnsi="Times New Roman"/>
                <w:sz w:val="28"/>
                <w:szCs w:val="28"/>
                <w:lang w:eastAsia="ru-RU"/>
              </w:rPr>
              <w:t>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EB3C4C" w:rsidRPr="00EB3C4C" w:rsidRDefault="00EB3C4C" w:rsidP="00EB3C4C">
            <w:pPr>
              <w:spacing w:after="0"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br/>
              <w:t>Таблица 2 - Доступные проходы расчетно-кассовой зоны</w:t>
            </w:r>
          </w:p>
          <w:p w:rsidR="00EB3C4C" w:rsidRPr="00EB3C4C" w:rsidRDefault="00EB3C4C" w:rsidP="00EB3C4C">
            <w:pPr>
              <w:spacing w:after="0" w:line="240" w:lineRule="auto"/>
              <w:jc w:val="both"/>
              <w:rPr>
                <w:rFonts w:ascii="Times New Roman" w:eastAsia="Times New Roman" w:hAnsi="Times New Roman"/>
                <w:sz w:val="28"/>
                <w:szCs w:val="28"/>
                <w:lang w:eastAsia="ru-RU"/>
              </w:rPr>
            </w:pPr>
          </w:p>
        </w:tc>
        <w:tc>
          <w:tcPr>
            <w:tcW w:w="4759" w:type="dxa"/>
            <w:vAlign w:val="center"/>
            <w:hideMark/>
          </w:tcPr>
          <w:p w:rsidR="00EB3C4C" w:rsidRPr="00EB3C4C" w:rsidRDefault="00EB3C4C" w:rsidP="00EB3C4C">
            <w:pPr>
              <w:spacing w:after="0" w:line="240" w:lineRule="auto"/>
              <w:jc w:val="both"/>
              <w:rPr>
                <w:rFonts w:ascii="Times New Roman" w:eastAsia="Times New Roman" w:hAnsi="Times New Roman"/>
                <w:sz w:val="28"/>
                <w:szCs w:val="28"/>
                <w:lang w:eastAsia="ru-RU"/>
              </w:rPr>
            </w:pPr>
          </w:p>
        </w:tc>
      </w:tr>
      <w:tr w:rsidR="00EB3C4C" w:rsidRPr="00002BC2" w:rsidTr="00F54EB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Общее число проходов</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Число доступных проходов (минимум)</w:t>
            </w:r>
          </w:p>
        </w:tc>
      </w:tr>
      <w:tr w:rsidR="00EB3C4C" w:rsidRPr="00002BC2" w:rsidTr="00F54EB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1-4</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 xml:space="preserve">1 </w:t>
            </w:r>
          </w:p>
        </w:tc>
      </w:tr>
      <w:tr w:rsidR="00EB3C4C" w:rsidRPr="00002BC2" w:rsidTr="00F54EB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5-8</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 xml:space="preserve">2 </w:t>
            </w:r>
          </w:p>
        </w:tc>
      </w:tr>
      <w:tr w:rsidR="00EB3C4C" w:rsidRPr="00002BC2" w:rsidTr="00F54EB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9-15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 xml:space="preserve">3 </w:t>
            </w:r>
          </w:p>
        </w:tc>
      </w:tr>
      <w:tr w:rsidR="00EB3C4C" w:rsidRPr="00002BC2" w:rsidTr="00F54EB9">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Более 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B3C4C" w:rsidRPr="00EB3C4C" w:rsidRDefault="00EB3C4C" w:rsidP="00EB3C4C">
            <w:pPr>
              <w:spacing w:before="100" w:beforeAutospacing="1" w:after="100" w:afterAutospacing="1" w:line="240" w:lineRule="auto"/>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 xml:space="preserve">3+20% дополнительных проходов </w:t>
            </w:r>
          </w:p>
        </w:tc>
      </w:tr>
    </w:tbl>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lastRenderedPageBreak/>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EB3C4C" w:rsidRPr="00EB3C4C" w:rsidRDefault="00EB3C4C" w:rsidP="00EB3C4C">
      <w:pPr>
        <w:spacing w:after="0" w:line="240" w:lineRule="auto"/>
        <w:ind w:firstLine="567"/>
        <w:jc w:val="both"/>
        <w:rPr>
          <w:rFonts w:ascii="Times New Roman" w:eastAsia="Times New Roman" w:hAnsi="Times New Roman"/>
          <w:b/>
          <w:bCs/>
          <w:sz w:val="28"/>
          <w:szCs w:val="28"/>
          <w:lang w:eastAsia="ru-RU"/>
        </w:rPr>
      </w:pP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b/>
          <w:bCs/>
          <w:sz w:val="28"/>
          <w:szCs w:val="28"/>
          <w:lang w:eastAsia="ru-RU"/>
        </w:rPr>
        <w:t>Предприятия питания</w:t>
      </w:r>
      <w:r w:rsidRPr="00EB3C4C">
        <w:rPr>
          <w:rFonts w:ascii="Times New Roman" w:eastAsia="Times New Roman" w:hAnsi="Times New Roman"/>
          <w:sz w:val="28"/>
          <w:szCs w:val="28"/>
          <w:lang w:eastAsia="ru-RU"/>
        </w:rPr>
        <w:t xml:space="preserve"> </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00002BC2">
        <w:rPr>
          <w:noProof/>
        </w:rPr>
      </w:r>
      <w:r w:rsidR="00002BC2">
        <w:pict>
          <v:rect id="Прямоугольник 4" o:spid="_x0000_s1027" alt="СП 59.13330.2012 Доступность зданий и сооружений для маломобильных групп населения. Актуализированная редакция СНиП 35-01-2001"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p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PuynaYEDAACzBgAADgAAAAAAAAAAAAAAAAAuAgAAZHJzL2Uy&#10;b0RvYy54bWxQSwECLQAUAAYACAAAACEAErsFm9wAAAADAQAADwAAAAAAAAAAAAAAAADbBQAAZHJz&#10;L2Rvd25yZXYueG1sUEsFBgAAAAAEAAQA8wAAAOQGAAAAAA==&#10;" filled="f" stroked="f">
            <o:lock v:ext="edit" aspectratio="t"/>
            <w10:anchorlock/>
          </v:rect>
        </w:pict>
      </w:r>
      <w:r w:rsidRPr="00EB3C4C">
        <w:rPr>
          <w:rFonts w:ascii="Times New Roman" w:eastAsia="Times New Roman" w:hAnsi="Times New Roman"/>
          <w:sz w:val="28"/>
          <w:szCs w:val="28"/>
          <w:lang w:eastAsia="ru-RU"/>
        </w:rPr>
        <w:t xml:space="preserve"> на место.</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sidR="00002BC2">
        <w:rPr>
          <w:noProof/>
        </w:rPr>
      </w:r>
      <w:r w:rsidR="00002BC2">
        <w:pict>
          <v:rect id="Прямоугольник 3" o:spid="_x0000_s1026" alt="СП 59.13330.2012 Доступность зданий и сооружений для маломобильных групп населения. Актуализированная редакция СНиП 35-01-2001"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eVHVTIEDAACzBgAADgAAAAAAAAAAAAAAAAAuAgAAZHJzL2Uy&#10;b0RvYy54bWxQSwECLQAUAAYACAAAACEAErsFm9wAAAADAQAADwAAAAAAAAAAAAAAAADbBQAAZHJz&#10;L2Rvd25yZXYueG1sUEsFBgAAAAAEAAQA8wAAAOQGAAAAAA==&#10;" filled="f" stroked="f">
            <o:lock v:ext="edit" aspectratio="t"/>
            <w10:anchorlock/>
          </v:rect>
        </w:pict>
      </w:r>
      <w:r w:rsidRPr="00EB3C4C">
        <w:rPr>
          <w:rFonts w:ascii="Times New Roman" w:eastAsia="Times New Roman" w:hAnsi="Times New Roman"/>
          <w:sz w:val="28"/>
          <w:szCs w:val="28"/>
          <w:lang w:eastAsia="ru-RU"/>
        </w:rPr>
        <w:t>.</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В буфетах и закусочных должно быть не менее одного стола высотой 0,65-0,7 м.</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Ширина прохода между столами в ресторане должна быть не менее 1,2 м.</w:t>
      </w:r>
    </w:p>
    <w:p w:rsidR="00EB3C4C" w:rsidRPr="00EB3C4C" w:rsidRDefault="00EB3C4C" w:rsidP="00EB3C4C">
      <w:pPr>
        <w:spacing w:after="0" w:line="240" w:lineRule="auto"/>
        <w:ind w:firstLine="567"/>
        <w:jc w:val="both"/>
        <w:rPr>
          <w:rFonts w:ascii="Times New Roman" w:eastAsia="Times New Roman" w:hAnsi="Times New Roman"/>
          <w:sz w:val="28"/>
          <w:szCs w:val="28"/>
          <w:lang w:eastAsia="ru-RU"/>
        </w:rPr>
      </w:pPr>
      <w:r w:rsidRPr="00EB3C4C">
        <w:rPr>
          <w:rFonts w:ascii="Times New Roman" w:eastAsia="Times New Roman" w:hAnsi="Times New Roman"/>
          <w:sz w:val="28"/>
          <w:szCs w:val="28"/>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EB3C4C" w:rsidRPr="00EB3C4C" w:rsidRDefault="00EB3C4C" w:rsidP="00EB3C4C">
      <w:pPr>
        <w:widowControl w:val="0"/>
        <w:autoSpaceDE w:val="0"/>
        <w:autoSpaceDN w:val="0"/>
        <w:adjustRightInd w:val="0"/>
        <w:spacing w:after="0" w:line="240" w:lineRule="auto"/>
        <w:ind w:firstLine="709"/>
        <w:jc w:val="both"/>
        <w:rPr>
          <w:rFonts w:ascii="Times New Roman" w:hAnsi="Times New Roman"/>
          <w:sz w:val="28"/>
          <w:szCs w:val="28"/>
        </w:rPr>
      </w:pPr>
    </w:p>
    <w:p w:rsidR="00EB3C4C" w:rsidRPr="00EB3C4C" w:rsidRDefault="00EB3C4C" w:rsidP="00EB3C4C">
      <w:pPr>
        <w:spacing w:after="0" w:line="240" w:lineRule="auto"/>
        <w:jc w:val="center"/>
        <w:rPr>
          <w:rFonts w:ascii="Times New Roman" w:eastAsia="Times New Roman" w:hAnsi="Times New Roman"/>
          <w:b/>
          <w:sz w:val="28"/>
          <w:szCs w:val="28"/>
          <w:lang w:eastAsia="ru-RU"/>
        </w:rPr>
      </w:pPr>
      <w:r w:rsidRPr="00EB3C4C">
        <w:rPr>
          <w:rFonts w:ascii="Times New Roman" w:eastAsia="Times New Roman" w:hAnsi="Times New Roman"/>
          <w:b/>
          <w:sz w:val="28"/>
          <w:szCs w:val="28"/>
          <w:lang w:eastAsia="ru-RU"/>
        </w:rPr>
        <w:t xml:space="preserve">Свод правил </w:t>
      </w:r>
    </w:p>
    <w:p w:rsidR="00EB3C4C" w:rsidRPr="00EB3C4C" w:rsidRDefault="00EB3C4C" w:rsidP="00EB3C4C">
      <w:pPr>
        <w:spacing w:after="0" w:line="240" w:lineRule="auto"/>
        <w:jc w:val="center"/>
        <w:rPr>
          <w:rFonts w:ascii="Times New Roman" w:eastAsia="Times New Roman" w:hAnsi="Times New Roman"/>
          <w:b/>
          <w:sz w:val="28"/>
          <w:szCs w:val="28"/>
          <w:lang w:eastAsia="ru-RU"/>
        </w:rPr>
      </w:pPr>
      <w:r w:rsidRPr="00EB3C4C">
        <w:rPr>
          <w:rFonts w:ascii="Times New Roman" w:eastAsia="Times New Roman" w:hAnsi="Times New Roman"/>
          <w:b/>
          <w:sz w:val="28"/>
          <w:szCs w:val="28"/>
          <w:lang w:eastAsia="ru-RU"/>
        </w:rPr>
        <w:t>«СП 138.13330.2012. Общественные здания и сооружения, доступные маломобильным группам населения. Правила проектирования»,</w:t>
      </w:r>
    </w:p>
    <w:p w:rsidR="00EB3C4C" w:rsidRPr="00EB3C4C" w:rsidRDefault="00EB3C4C" w:rsidP="00EB3C4C">
      <w:pPr>
        <w:spacing w:after="0" w:line="240" w:lineRule="auto"/>
        <w:jc w:val="center"/>
        <w:rPr>
          <w:rFonts w:ascii="Times New Roman" w:eastAsia="Times New Roman" w:hAnsi="Times New Roman"/>
          <w:b/>
          <w:sz w:val="28"/>
          <w:szCs w:val="28"/>
          <w:lang w:eastAsia="ru-RU"/>
        </w:rPr>
      </w:pPr>
      <w:r w:rsidRPr="00EB3C4C">
        <w:rPr>
          <w:rFonts w:ascii="Times New Roman" w:eastAsia="Times New Roman" w:hAnsi="Times New Roman"/>
          <w:b/>
          <w:sz w:val="28"/>
          <w:szCs w:val="28"/>
          <w:lang w:eastAsia="ru-RU"/>
        </w:rPr>
        <w:t>утвержденный Приказом Госстроя от 27.12.2012 г. N 124/ГС, введенный в действие с 1 июля 2013 г.</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 xml:space="preserve">( И з в л е </w:t>
      </w:r>
      <w:r>
        <w:rPr>
          <w:rFonts w:ascii="Times New Roman" w:hAnsi="Times New Roman"/>
          <w:b/>
          <w:sz w:val="28"/>
          <w:szCs w:val="28"/>
        </w:rPr>
        <w:t>ч</w:t>
      </w:r>
      <w:r w:rsidRPr="00EB3C4C">
        <w:rPr>
          <w:rFonts w:ascii="Times New Roman" w:hAnsi="Times New Roman"/>
          <w:b/>
          <w:sz w:val="28"/>
          <w:szCs w:val="28"/>
        </w:rPr>
        <w:t xml:space="preserve"> е н и я )</w:t>
      </w:r>
    </w:p>
    <w:p w:rsidR="00EB3C4C" w:rsidRPr="00EB3C4C" w:rsidRDefault="00EB3C4C" w:rsidP="00EB3C4C">
      <w:pPr>
        <w:widowControl w:val="0"/>
        <w:autoSpaceDE w:val="0"/>
        <w:autoSpaceDN w:val="0"/>
        <w:adjustRightInd w:val="0"/>
        <w:spacing w:after="0" w:line="240" w:lineRule="auto"/>
        <w:ind w:firstLine="567"/>
        <w:jc w:val="center"/>
        <w:outlineLvl w:val="0"/>
        <w:rPr>
          <w:rFonts w:ascii="Times New Roman" w:eastAsia="Times New Roman" w:hAnsi="Times New Roman"/>
          <w:bCs/>
          <w:sz w:val="28"/>
          <w:szCs w:val="28"/>
          <w:lang w:eastAsia="ru-RU"/>
        </w:rPr>
      </w:pPr>
      <w:bookmarkStart w:id="0" w:name="sub_6200"/>
      <w:r>
        <w:rPr>
          <w:rFonts w:ascii="Times New Roman" w:eastAsia="Times New Roman" w:hAnsi="Times New Roman"/>
          <w:bCs/>
          <w:sz w:val="28"/>
          <w:szCs w:val="28"/>
          <w:lang w:eastAsia="ru-RU"/>
        </w:rPr>
        <w:t>П</w:t>
      </w:r>
      <w:r w:rsidRPr="00EB3C4C">
        <w:rPr>
          <w:rFonts w:ascii="Times New Roman" w:eastAsia="Times New Roman" w:hAnsi="Times New Roman"/>
          <w:bCs/>
          <w:sz w:val="28"/>
          <w:szCs w:val="28"/>
          <w:lang w:eastAsia="ru-RU"/>
        </w:rPr>
        <w:t>редприятия розничной торговли</w:t>
      </w:r>
    </w:p>
    <w:p w:rsidR="00EB3C4C" w:rsidRPr="00EB3C4C" w:rsidRDefault="00EB3C4C" w:rsidP="00EB3C4C">
      <w:pPr>
        <w:spacing w:after="0" w:line="240" w:lineRule="auto"/>
        <w:ind w:firstLine="567"/>
        <w:jc w:val="both"/>
        <w:rPr>
          <w:rFonts w:ascii="Times New Roman" w:hAnsi="Times New Roman"/>
          <w:sz w:val="28"/>
          <w:szCs w:val="28"/>
        </w:rPr>
      </w:pPr>
      <w:bookmarkStart w:id="1" w:name="sub_604"/>
      <w:bookmarkEnd w:id="0"/>
      <w:r w:rsidRPr="00EB3C4C">
        <w:rPr>
          <w:rFonts w:ascii="Times New Roman" w:hAnsi="Times New Roman"/>
          <w:sz w:val="28"/>
          <w:szCs w:val="28"/>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EB3C4C" w:rsidRPr="00EB3C4C" w:rsidRDefault="00EB3C4C" w:rsidP="00EB3C4C">
      <w:pPr>
        <w:spacing w:after="0" w:line="240" w:lineRule="auto"/>
        <w:ind w:firstLine="567"/>
        <w:jc w:val="both"/>
        <w:rPr>
          <w:rFonts w:ascii="Times New Roman" w:hAnsi="Times New Roman"/>
          <w:sz w:val="28"/>
          <w:szCs w:val="28"/>
        </w:rPr>
      </w:pPr>
      <w:bookmarkStart w:id="2" w:name="sub_605"/>
      <w:bookmarkEnd w:id="1"/>
      <w:r w:rsidRPr="00EB3C4C">
        <w:rPr>
          <w:rFonts w:ascii="Times New Roman" w:hAnsi="Times New Roman"/>
          <w:sz w:val="28"/>
          <w:szCs w:val="28"/>
        </w:rPr>
        <w:lastRenderedPageBreak/>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2"/>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 xml:space="preserve">Вариант "А" - по </w:t>
      </w:r>
      <w:hyperlink w:anchor="sub_108" w:history="1">
        <w:r w:rsidRPr="00EB3C4C">
          <w:rPr>
            <w:rFonts w:ascii="Times New Roman" w:hAnsi="Times New Roman"/>
            <w:sz w:val="28"/>
            <w:szCs w:val="28"/>
          </w:rPr>
          <w:t>пункту 1.8</w:t>
        </w:r>
      </w:hyperlink>
      <w:r w:rsidRPr="00EB3C4C">
        <w:rPr>
          <w:rFonts w:ascii="Times New Roman" w:hAnsi="Times New Roman"/>
          <w:sz w:val="28"/>
          <w:szCs w:val="28"/>
        </w:rPr>
        <w:t>.</w:t>
      </w:r>
    </w:p>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Вариант "Б". Создание условий для покупки товаров полного ассортимента в специально выделенном помещении для маломобильных покупателей.</w:t>
      </w:r>
    </w:p>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EB3C4C" w:rsidRPr="00EB3C4C" w:rsidRDefault="00EB3C4C" w:rsidP="00EB3C4C">
      <w:pPr>
        <w:spacing w:after="0" w:line="240" w:lineRule="auto"/>
        <w:ind w:firstLine="567"/>
        <w:jc w:val="both"/>
        <w:rPr>
          <w:rFonts w:ascii="Times New Roman" w:hAnsi="Times New Roman"/>
          <w:sz w:val="28"/>
          <w:szCs w:val="28"/>
        </w:rPr>
      </w:pPr>
      <w:bookmarkStart w:id="3" w:name="sub_606"/>
      <w:r w:rsidRPr="00EB3C4C">
        <w:rPr>
          <w:rFonts w:ascii="Times New Roman" w:hAnsi="Times New Roman"/>
          <w:sz w:val="28"/>
          <w:szCs w:val="28"/>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EB3C4C" w:rsidRPr="00EB3C4C" w:rsidRDefault="00EB3C4C" w:rsidP="00EB3C4C">
      <w:pPr>
        <w:spacing w:after="0" w:line="240" w:lineRule="auto"/>
        <w:ind w:firstLine="567"/>
        <w:jc w:val="both"/>
        <w:rPr>
          <w:rFonts w:ascii="Times New Roman" w:hAnsi="Times New Roman"/>
          <w:sz w:val="28"/>
          <w:szCs w:val="28"/>
        </w:rPr>
      </w:pPr>
      <w:bookmarkStart w:id="4" w:name="sub_607"/>
      <w:bookmarkEnd w:id="3"/>
      <w:r w:rsidRPr="00EB3C4C">
        <w:rPr>
          <w:rFonts w:ascii="Times New Roman" w:hAnsi="Times New Roman"/>
          <w:sz w:val="28"/>
          <w:szCs w:val="28"/>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4"/>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EB3C4C" w:rsidRPr="00EB3C4C" w:rsidRDefault="00EB3C4C" w:rsidP="00EB3C4C">
      <w:pPr>
        <w:spacing w:after="0" w:line="240" w:lineRule="auto"/>
        <w:ind w:firstLine="567"/>
        <w:jc w:val="both"/>
        <w:rPr>
          <w:rFonts w:ascii="Times New Roman" w:hAnsi="Times New Roman"/>
          <w:sz w:val="28"/>
          <w:szCs w:val="28"/>
        </w:rPr>
      </w:pPr>
      <w:bookmarkStart w:id="5" w:name="sub_608"/>
      <w:r w:rsidRPr="00EB3C4C">
        <w:rPr>
          <w:rFonts w:ascii="Times New Roman" w:hAnsi="Times New Roman"/>
          <w:sz w:val="28"/>
          <w:szCs w:val="28"/>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5"/>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 xml:space="preserve">Ширина прохода для универсамов, супермаркетов и оптовых рынков (торговая площадь свыше 650 </w:t>
      </w:r>
      <w:r w:rsidR="00154B7F">
        <w:rPr>
          <w:rFonts w:ascii="Times New Roman" w:hAnsi="Times New Roman"/>
          <w:noProof/>
          <w:sz w:val="28"/>
          <w:szCs w:val="28"/>
          <w:lang w:eastAsia="ru-RU"/>
        </w:rPr>
        <w:drawing>
          <wp:inline distT="0" distB="0" distL="0" distR="0">
            <wp:extent cx="209550" cy="2571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EB3C4C">
        <w:rPr>
          <w:rFonts w:ascii="Times New Roman" w:hAnsi="Times New Roman"/>
          <w:sz w:val="28"/>
          <w:szCs w:val="28"/>
        </w:rPr>
        <w:t>) должна быть не менее 2 м.</w:t>
      </w:r>
    </w:p>
    <w:p w:rsidR="00EB3C4C" w:rsidRPr="00EB3C4C" w:rsidRDefault="00EB3C4C" w:rsidP="00EB3C4C">
      <w:pPr>
        <w:spacing w:after="0" w:line="240" w:lineRule="auto"/>
        <w:ind w:firstLine="567"/>
        <w:jc w:val="both"/>
        <w:rPr>
          <w:rFonts w:ascii="Times New Roman" w:hAnsi="Times New Roman"/>
          <w:sz w:val="28"/>
          <w:szCs w:val="28"/>
        </w:rPr>
      </w:pPr>
      <w:bookmarkStart w:id="6" w:name="sub_609"/>
      <w:r w:rsidRPr="00EB3C4C">
        <w:rPr>
          <w:rFonts w:ascii="Times New Roman" w:hAnsi="Times New Roman"/>
          <w:sz w:val="28"/>
          <w:szCs w:val="28"/>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6"/>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Информационный знак доступности кассы должен располагаться на высоте, видной для покупателя на кресле-коляске.</w:t>
      </w:r>
    </w:p>
    <w:p w:rsidR="00EB3C4C" w:rsidRPr="00EB3C4C" w:rsidRDefault="00EB3C4C" w:rsidP="00EB3C4C">
      <w:pPr>
        <w:spacing w:after="0" w:line="240" w:lineRule="auto"/>
        <w:ind w:firstLine="567"/>
        <w:jc w:val="both"/>
        <w:rPr>
          <w:rFonts w:ascii="Times New Roman" w:hAnsi="Times New Roman"/>
          <w:sz w:val="28"/>
          <w:szCs w:val="28"/>
        </w:rPr>
      </w:pPr>
      <w:bookmarkStart w:id="7" w:name="sub_610"/>
      <w:r w:rsidRPr="00EB3C4C">
        <w:rPr>
          <w:rFonts w:ascii="Times New Roman" w:hAnsi="Times New Roman"/>
          <w:sz w:val="28"/>
          <w:szCs w:val="28"/>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8" w:history="1">
        <w:r w:rsidRPr="00EB3C4C">
          <w:rPr>
            <w:rFonts w:ascii="Times New Roman" w:hAnsi="Times New Roman"/>
            <w:sz w:val="28"/>
            <w:szCs w:val="28"/>
          </w:rPr>
          <w:t>СП 136.13330</w:t>
        </w:r>
      </w:hyperlink>
      <w:r w:rsidRPr="00EB3C4C">
        <w:rPr>
          <w:rFonts w:ascii="Times New Roman" w:hAnsi="Times New Roman"/>
          <w:sz w:val="28"/>
          <w:szCs w:val="28"/>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7"/>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 xml:space="preserve">Рекомендуемые сочетания цветов следует принимать по </w:t>
      </w:r>
      <w:hyperlink r:id="rId9" w:history="1">
        <w:r w:rsidRPr="00EB3C4C">
          <w:rPr>
            <w:rFonts w:ascii="Times New Roman" w:hAnsi="Times New Roman"/>
            <w:sz w:val="28"/>
            <w:szCs w:val="28"/>
          </w:rPr>
          <w:t>СП 136.13330</w:t>
        </w:r>
      </w:hyperlink>
      <w:r w:rsidRPr="00EB3C4C">
        <w:rPr>
          <w:rFonts w:ascii="Times New Roman" w:hAnsi="Times New Roman"/>
          <w:sz w:val="28"/>
          <w:szCs w:val="28"/>
        </w:rPr>
        <w:t>.</w:t>
      </w:r>
    </w:p>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lastRenderedPageBreak/>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EB3C4C" w:rsidRPr="00EB3C4C" w:rsidRDefault="00EB3C4C" w:rsidP="00EB3C4C">
      <w:pPr>
        <w:spacing w:after="0" w:line="240" w:lineRule="auto"/>
        <w:ind w:firstLine="567"/>
        <w:jc w:val="both"/>
        <w:rPr>
          <w:rFonts w:ascii="Times New Roman" w:hAnsi="Times New Roman"/>
          <w:sz w:val="28"/>
          <w:szCs w:val="28"/>
        </w:rPr>
      </w:pPr>
    </w:p>
    <w:p w:rsidR="00EB3C4C" w:rsidRPr="00EB3C4C" w:rsidRDefault="00EB3C4C" w:rsidP="00EB3C4C">
      <w:pPr>
        <w:widowControl w:val="0"/>
        <w:autoSpaceDE w:val="0"/>
        <w:autoSpaceDN w:val="0"/>
        <w:adjustRightInd w:val="0"/>
        <w:spacing w:after="0" w:line="240" w:lineRule="auto"/>
        <w:ind w:firstLine="567"/>
        <w:jc w:val="center"/>
        <w:outlineLvl w:val="0"/>
        <w:rPr>
          <w:rFonts w:ascii="Times New Roman" w:eastAsia="Times New Roman" w:hAnsi="Times New Roman"/>
          <w:bCs/>
          <w:sz w:val="28"/>
          <w:szCs w:val="28"/>
          <w:lang w:eastAsia="ru-RU"/>
        </w:rPr>
      </w:pPr>
      <w:bookmarkStart w:id="8" w:name="sub_6300"/>
      <w:r w:rsidRPr="00EB3C4C">
        <w:rPr>
          <w:rFonts w:ascii="Times New Roman" w:eastAsia="Times New Roman" w:hAnsi="Times New Roman"/>
          <w:bCs/>
          <w:sz w:val="28"/>
          <w:szCs w:val="28"/>
          <w:lang w:eastAsia="ru-RU"/>
        </w:rPr>
        <w:t>Предприятия питания</w:t>
      </w:r>
    </w:p>
    <w:bookmarkEnd w:id="8"/>
    <w:p w:rsidR="00EB3C4C" w:rsidRPr="00EB3C4C" w:rsidRDefault="00EB3C4C" w:rsidP="00EB3C4C">
      <w:pPr>
        <w:spacing w:after="0" w:line="240" w:lineRule="auto"/>
        <w:ind w:firstLine="567"/>
        <w:jc w:val="both"/>
        <w:rPr>
          <w:rFonts w:ascii="Times New Roman" w:hAnsi="Times New Roman"/>
          <w:sz w:val="28"/>
          <w:szCs w:val="28"/>
        </w:rPr>
      </w:pPr>
    </w:p>
    <w:p w:rsidR="00EB3C4C" w:rsidRPr="00EB3C4C" w:rsidRDefault="00EB3C4C" w:rsidP="00EB3C4C">
      <w:pPr>
        <w:spacing w:after="0" w:line="240" w:lineRule="auto"/>
        <w:ind w:firstLine="567"/>
        <w:jc w:val="both"/>
        <w:rPr>
          <w:rFonts w:ascii="Times New Roman" w:hAnsi="Times New Roman"/>
          <w:sz w:val="28"/>
          <w:szCs w:val="28"/>
        </w:rPr>
      </w:pPr>
      <w:bookmarkStart w:id="9" w:name="sub_611"/>
      <w:r w:rsidRPr="00EB3C4C">
        <w:rPr>
          <w:rFonts w:ascii="Times New Roman" w:hAnsi="Times New Roman"/>
          <w:sz w:val="28"/>
          <w:szCs w:val="28"/>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9"/>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EB3C4C" w:rsidRPr="00EB3C4C" w:rsidRDefault="00EB3C4C" w:rsidP="00EB3C4C">
      <w:pPr>
        <w:spacing w:after="0" w:line="240" w:lineRule="auto"/>
        <w:ind w:firstLine="567"/>
        <w:jc w:val="both"/>
        <w:rPr>
          <w:rFonts w:ascii="Times New Roman" w:hAnsi="Times New Roman"/>
          <w:sz w:val="28"/>
          <w:szCs w:val="28"/>
        </w:rPr>
      </w:pPr>
      <w:bookmarkStart w:id="10" w:name="sub_612"/>
      <w:r w:rsidRPr="00EB3C4C">
        <w:rPr>
          <w:rFonts w:ascii="Times New Roman" w:hAnsi="Times New Roman"/>
          <w:sz w:val="28"/>
          <w:szCs w:val="28"/>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EB3C4C" w:rsidRPr="00EB3C4C" w:rsidRDefault="00EB3C4C" w:rsidP="00EB3C4C">
      <w:pPr>
        <w:spacing w:after="0" w:line="240" w:lineRule="auto"/>
        <w:ind w:firstLine="567"/>
        <w:jc w:val="both"/>
        <w:rPr>
          <w:rFonts w:ascii="Times New Roman" w:hAnsi="Times New Roman"/>
          <w:sz w:val="28"/>
          <w:szCs w:val="28"/>
        </w:rPr>
      </w:pPr>
      <w:bookmarkStart w:id="11" w:name="sub_613"/>
      <w:bookmarkEnd w:id="10"/>
      <w:r w:rsidRPr="00EB3C4C">
        <w:rPr>
          <w:rFonts w:ascii="Times New Roman" w:hAnsi="Times New Roman"/>
          <w:sz w:val="28"/>
          <w:szCs w:val="28"/>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sidR="00154B7F">
        <w:rPr>
          <w:rFonts w:ascii="Times New Roman" w:hAnsi="Times New Roman"/>
          <w:noProof/>
          <w:sz w:val="28"/>
          <w:szCs w:val="28"/>
          <w:lang w:eastAsia="ru-RU"/>
        </w:rPr>
        <w:drawing>
          <wp:inline distT="0" distB="0" distL="0" distR="0">
            <wp:extent cx="209550" cy="257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EB3C4C">
        <w:rPr>
          <w:rFonts w:ascii="Times New Roman" w:hAnsi="Times New Roman"/>
          <w:sz w:val="28"/>
          <w:szCs w:val="28"/>
        </w:rPr>
        <w:t xml:space="preserve"> на каждое место. </w:t>
      </w:r>
      <w:bookmarkStart w:id="12" w:name="sub_614"/>
      <w:bookmarkEnd w:id="11"/>
    </w:p>
    <w:p w:rsidR="00EB3C4C" w:rsidRPr="00EB3C4C" w:rsidRDefault="00EB3C4C" w:rsidP="00EB3C4C">
      <w:pPr>
        <w:spacing w:after="0" w:line="240" w:lineRule="auto"/>
        <w:ind w:firstLine="567"/>
        <w:jc w:val="both"/>
        <w:rPr>
          <w:rFonts w:ascii="Times New Roman" w:hAnsi="Times New Roman"/>
          <w:sz w:val="28"/>
          <w:szCs w:val="28"/>
        </w:rPr>
      </w:pPr>
      <w:r w:rsidRPr="00EB3C4C">
        <w:rPr>
          <w:rFonts w:ascii="Times New Roman" w:hAnsi="Times New Roman"/>
          <w:sz w:val="28"/>
          <w:szCs w:val="28"/>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11" w:history="1">
        <w:r w:rsidRPr="00EB3C4C">
          <w:rPr>
            <w:rFonts w:ascii="Times New Roman" w:hAnsi="Times New Roman"/>
            <w:sz w:val="28"/>
            <w:szCs w:val="28"/>
          </w:rPr>
          <w:t>СП 136.13330</w:t>
        </w:r>
      </w:hyperlink>
      <w:r w:rsidRPr="00EB3C4C">
        <w:rPr>
          <w:rFonts w:ascii="Times New Roman" w:hAnsi="Times New Roman"/>
          <w:sz w:val="28"/>
          <w:szCs w:val="28"/>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EB3C4C" w:rsidRPr="00EB3C4C" w:rsidRDefault="00EB3C4C" w:rsidP="00EB3C4C">
      <w:pPr>
        <w:spacing w:after="0" w:line="240" w:lineRule="auto"/>
        <w:ind w:firstLine="567"/>
        <w:jc w:val="both"/>
        <w:rPr>
          <w:rFonts w:ascii="Times New Roman" w:hAnsi="Times New Roman"/>
          <w:sz w:val="28"/>
          <w:szCs w:val="28"/>
        </w:rPr>
      </w:pPr>
      <w:bookmarkStart w:id="13" w:name="sub_615"/>
      <w:bookmarkEnd w:id="12"/>
      <w:r w:rsidRPr="00EB3C4C">
        <w:rPr>
          <w:rFonts w:ascii="Times New Roman" w:hAnsi="Times New Roman"/>
          <w:sz w:val="28"/>
          <w:szCs w:val="28"/>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12" w:history="1">
        <w:r w:rsidRPr="00EB3C4C">
          <w:rPr>
            <w:rFonts w:ascii="Times New Roman" w:hAnsi="Times New Roman"/>
            <w:sz w:val="28"/>
            <w:szCs w:val="28"/>
          </w:rPr>
          <w:t>СП 136.13330</w:t>
        </w:r>
      </w:hyperlink>
      <w:r w:rsidRPr="00EB3C4C">
        <w:rPr>
          <w:rFonts w:ascii="Times New Roman" w:hAnsi="Times New Roman"/>
          <w:sz w:val="28"/>
          <w:szCs w:val="28"/>
        </w:rPr>
        <w:t>.</w:t>
      </w:r>
    </w:p>
    <w:p w:rsidR="00EB3C4C" w:rsidRPr="00EB3C4C" w:rsidRDefault="00EB3C4C" w:rsidP="00EB3C4C">
      <w:pPr>
        <w:spacing w:after="0" w:line="240" w:lineRule="auto"/>
        <w:ind w:firstLine="567"/>
        <w:jc w:val="both"/>
        <w:rPr>
          <w:rFonts w:ascii="Times New Roman" w:hAnsi="Times New Roman"/>
          <w:sz w:val="28"/>
          <w:szCs w:val="28"/>
        </w:rPr>
      </w:pPr>
      <w:bookmarkStart w:id="14" w:name="sub_616"/>
      <w:bookmarkEnd w:id="13"/>
      <w:r w:rsidRPr="00EB3C4C">
        <w:rPr>
          <w:rFonts w:ascii="Times New Roman" w:hAnsi="Times New Roman"/>
          <w:sz w:val="28"/>
          <w:szCs w:val="28"/>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13" w:history="1">
        <w:r w:rsidRPr="00EB3C4C">
          <w:rPr>
            <w:rFonts w:ascii="Times New Roman" w:hAnsi="Times New Roman"/>
            <w:sz w:val="28"/>
            <w:szCs w:val="28"/>
          </w:rPr>
          <w:t>СП 59.13330</w:t>
        </w:r>
      </w:hyperlink>
      <w:r w:rsidRPr="00EB3C4C">
        <w:rPr>
          <w:rFonts w:ascii="Times New Roman" w:hAnsi="Times New Roman"/>
          <w:sz w:val="28"/>
          <w:szCs w:val="28"/>
        </w:rPr>
        <w:t xml:space="preserve"> и рекомендациями </w:t>
      </w:r>
      <w:hyperlink r:id="rId14" w:history="1">
        <w:r w:rsidRPr="00EB3C4C">
          <w:rPr>
            <w:rFonts w:ascii="Times New Roman" w:hAnsi="Times New Roman"/>
            <w:sz w:val="28"/>
            <w:szCs w:val="28"/>
          </w:rPr>
          <w:t>СП 136.13330</w:t>
        </w:r>
      </w:hyperlink>
      <w:r w:rsidRPr="00EB3C4C">
        <w:rPr>
          <w:rFonts w:ascii="Times New Roman" w:hAnsi="Times New Roman"/>
          <w:sz w:val="28"/>
          <w:szCs w:val="28"/>
        </w:rPr>
        <w:t>.</w:t>
      </w:r>
    </w:p>
    <w:p w:rsidR="00EB3C4C" w:rsidRPr="00EB3C4C" w:rsidRDefault="00EB3C4C" w:rsidP="00EB3C4C">
      <w:pPr>
        <w:spacing w:after="0" w:line="240" w:lineRule="auto"/>
        <w:ind w:firstLine="567"/>
        <w:jc w:val="both"/>
        <w:rPr>
          <w:rFonts w:ascii="Times New Roman" w:hAnsi="Times New Roman"/>
          <w:sz w:val="28"/>
          <w:szCs w:val="28"/>
        </w:rPr>
      </w:pPr>
      <w:bookmarkStart w:id="15" w:name="sub_617"/>
      <w:bookmarkEnd w:id="14"/>
      <w:r w:rsidRPr="00EB3C4C">
        <w:rPr>
          <w:rFonts w:ascii="Times New Roman" w:hAnsi="Times New Roman"/>
          <w:sz w:val="28"/>
          <w:szCs w:val="28"/>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EB3C4C" w:rsidRPr="00EB3C4C" w:rsidRDefault="00EB3C4C" w:rsidP="00EB3C4C">
      <w:pPr>
        <w:spacing w:after="0" w:line="240" w:lineRule="auto"/>
        <w:ind w:firstLine="567"/>
        <w:jc w:val="both"/>
        <w:rPr>
          <w:rFonts w:ascii="Times New Roman" w:hAnsi="Times New Roman"/>
          <w:sz w:val="28"/>
          <w:szCs w:val="28"/>
        </w:rPr>
      </w:pPr>
      <w:bookmarkStart w:id="16" w:name="sub_618"/>
      <w:bookmarkEnd w:id="15"/>
      <w:r w:rsidRPr="00EB3C4C">
        <w:rPr>
          <w:rFonts w:ascii="Times New Roman" w:hAnsi="Times New Roman"/>
          <w:sz w:val="28"/>
          <w:szCs w:val="28"/>
        </w:rPr>
        <w:lastRenderedPageBreak/>
        <w:t>6.18 Специализированные средства информации для МГН должны решаться в соподчинении с основной дизайнерской концепцией интерьера.</w:t>
      </w:r>
    </w:p>
    <w:bookmarkEnd w:id="16"/>
    <w:p w:rsidR="00EB3C4C" w:rsidRPr="00EB3C4C" w:rsidRDefault="00EB3C4C" w:rsidP="00EB3C4C">
      <w:pPr>
        <w:spacing w:after="0" w:line="240" w:lineRule="auto"/>
        <w:jc w:val="both"/>
        <w:rPr>
          <w:rFonts w:ascii="Times New Roman" w:hAnsi="Times New Roman"/>
          <w:sz w:val="28"/>
          <w:szCs w:val="28"/>
        </w:rPr>
      </w:pPr>
    </w:p>
    <w:p w:rsidR="00EB3C4C" w:rsidRPr="00EB3C4C" w:rsidRDefault="00EB3C4C" w:rsidP="00EB3C4C">
      <w:pPr>
        <w:widowControl w:val="0"/>
        <w:autoSpaceDE w:val="0"/>
        <w:autoSpaceDN w:val="0"/>
        <w:adjustRightInd w:val="0"/>
        <w:spacing w:after="0" w:line="240" w:lineRule="auto"/>
        <w:ind w:firstLine="708"/>
        <w:jc w:val="center"/>
        <w:rPr>
          <w:rFonts w:ascii="Times New Roman" w:hAnsi="Times New Roman"/>
          <w:b/>
          <w:sz w:val="28"/>
          <w:szCs w:val="28"/>
        </w:rPr>
      </w:pPr>
      <w:r w:rsidRPr="00EB3C4C">
        <w:rPr>
          <w:rFonts w:ascii="Times New Roman" w:hAnsi="Times New Roman"/>
          <w:b/>
          <w:sz w:val="28"/>
          <w:szCs w:val="28"/>
        </w:rPr>
        <w:t xml:space="preserve">ГОСТ 30389-2013. Межгосударственный стандарт. </w:t>
      </w:r>
    </w:p>
    <w:p w:rsidR="00EB3C4C" w:rsidRPr="00EB3C4C" w:rsidRDefault="00EB3C4C" w:rsidP="00EB3C4C">
      <w:pPr>
        <w:widowControl w:val="0"/>
        <w:autoSpaceDE w:val="0"/>
        <w:autoSpaceDN w:val="0"/>
        <w:adjustRightInd w:val="0"/>
        <w:spacing w:after="0" w:line="240" w:lineRule="auto"/>
        <w:ind w:firstLine="708"/>
        <w:jc w:val="center"/>
        <w:rPr>
          <w:rFonts w:ascii="Times New Roman" w:hAnsi="Times New Roman"/>
          <w:b/>
          <w:sz w:val="28"/>
          <w:szCs w:val="28"/>
        </w:rPr>
      </w:pPr>
      <w:r w:rsidRPr="00EB3C4C">
        <w:rPr>
          <w:rFonts w:ascii="Times New Roman" w:hAnsi="Times New Roman"/>
          <w:b/>
          <w:sz w:val="28"/>
          <w:szCs w:val="28"/>
        </w:rPr>
        <w:t xml:space="preserve">«Услуги общественного питания. Предприятия общественного питания. Классификация и общие требования», </w:t>
      </w:r>
    </w:p>
    <w:p w:rsidR="00EB3C4C" w:rsidRPr="00EB3C4C" w:rsidRDefault="00EB3C4C" w:rsidP="00EB3C4C">
      <w:pPr>
        <w:widowControl w:val="0"/>
        <w:autoSpaceDE w:val="0"/>
        <w:autoSpaceDN w:val="0"/>
        <w:adjustRightInd w:val="0"/>
        <w:spacing w:after="0" w:line="240" w:lineRule="auto"/>
        <w:ind w:firstLine="708"/>
        <w:jc w:val="center"/>
        <w:rPr>
          <w:rFonts w:ascii="Times New Roman" w:hAnsi="Times New Roman"/>
          <w:b/>
          <w:sz w:val="28"/>
          <w:szCs w:val="28"/>
        </w:rPr>
      </w:pPr>
      <w:r w:rsidRPr="00EB3C4C">
        <w:rPr>
          <w:rFonts w:ascii="Times New Roman" w:hAnsi="Times New Roman"/>
          <w:b/>
          <w:sz w:val="28"/>
          <w:szCs w:val="28"/>
        </w:rPr>
        <w:t xml:space="preserve">введенный в действие Приказом Росстандарта </w:t>
      </w:r>
    </w:p>
    <w:p w:rsidR="00EB3C4C" w:rsidRPr="00EB3C4C" w:rsidRDefault="00EB3C4C" w:rsidP="00EB3C4C">
      <w:pPr>
        <w:widowControl w:val="0"/>
        <w:autoSpaceDE w:val="0"/>
        <w:autoSpaceDN w:val="0"/>
        <w:adjustRightInd w:val="0"/>
        <w:spacing w:after="0" w:line="240" w:lineRule="auto"/>
        <w:ind w:firstLine="708"/>
        <w:jc w:val="center"/>
        <w:rPr>
          <w:rFonts w:ascii="Times New Roman" w:hAnsi="Times New Roman"/>
          <w:b/>
          <w:sz w:val="28"/>
          <w:szCs w:val="28"/>
        </w:rPr>
      </w:pPr>
      <w:r w:rsidRPr="00EB3C4C">
        <w:rPr>
          <w:rFonts w:ascii="Times New Roman" w:hAnsi="Times New Roman"/>
          <w:b/>
          <w:sz w:val="28"/>
          <w:szCs w:val="28"/>
        </w:rPr>
        <w:t>от 22.11.2013 N 1676-ст</w:t>
      </w:r>
    </w:p>
    <w:p w:rsidR="00EB3C4C" w:rsidRPr="00EB3C4C" w:rsidRDefault="00EB3C4C" w:rsidP="00EB3C4C">
      <w:pPr>
        <w:widowControl w:val="0"/>
        <w:autoSpaceDE w:val="0"/>
        <w:autoSpaceDN w:val="0"/>
        <w:adjustRightInd w:val="0"/>
        <w:spacing w:after="0" w:line="240" w:lineRule="auto"/>
        <w:ind w:firstLine="708"/>
        <w:jc w:val="both"/>
        <w:rPr>
          <w:rFonts w:ascii="Times New Roman" w:hAnsi="Times New Roman"/>
          <w:sz w:val="28"/>
          <w:szCs w:val="28"/>
        </w:rPr>
      </w:pPr>
      <w:r w:rsidRPr="00EB3C4C">
        <w:rPr>
          <w:rFonts w:ascii="Times New Roman" w:hAnsi="Times New Roman"/>
          <w:sz w:val="28"/>
          <w:szCs w:val="28"/>
        </w:rPr>
        <w:t>Начало действия документа - 01.01.2016.</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 xml:space="preserve"> И з в л е ч е н и я )</w:t>
      </w:r>
    </w:p>
    <w:p w:rsidR="00EB3C4C" w:rsidRPr="00EB3C4C" w:rsidRDefault="00EB3C4C" w:rsidP="00EB3C4C">
      <w:pPr>
        <w:widowControl w:val="0"/>
        <w:autoSpaceDE w:val="0"/>
        <w:autoSpaceDN w:val="0"/>
        <w:adjustRightInd w:val="0"/>
        <w:spacing w:after="0" w:line="240" w:lineRule="auto"/>
        <w:ind w:firstLine="709"/>
        <w:jc w:val="both"/>
        <w:rPr>
          <w:rFonts w:ascii="Times New Roman" w:hAnsi="Times New Roman"/>
          <w:sz w:val="28"/>
          <w:szCs w:val="28"/>
        </w:rPr>
      </w:pPr>
      <w:r w:rsidRPr="00EB3C4C">
        <w:rPr>
          <w:rFonts w:ascii="Times New Roman" w:hAnsi="Times New Roman"/>
          <w:sz w:val="28"/>
          <w:szCs w:val="28"/>
        </w:rPr>
        <w:t>На территории, прилегающей к ресторану, должна быть оборудована автостоянка, в том числе для инвалидов (не менее трех машиномест).</w:t>
      </w:r>
    </w:p>
    <w:p w:rsidR="00EB3C4C" w:rsidRPr="00EB3C4C" w:rsidRDefault="00EB3C4C" w:rsidP="00EB3C4C">
      <w:pPr>
        <w:widowControl w:val="0"/>
        <w:autoSpaceDE w:val="0"/>
        <w:autoSpaceDN w:val="0"/>
        <w:adjustRightInd w:val="0"/>
        <w:spacing w:after="0" w:line="240" w:lineRule="auto"/>
        <w:ind w:firstLine="709"/>
        <w:jc w:val="both"/>
        <w:rPr>
          <w:rFonts w:ascii="Times New Roman" w:hAnsi="Times New Roman"/>
          <w:sz w:val="28"/>
          <w:szCs w:val="28"/>
        </w:rPr>
      </w:pPr>
      <w:r w:rsidRPr="00EB3C4C">
        <w:rPr>
          <w:rFonts w:ascii="Times New Roman" w:hAnsi="Times New Roman"/>
          <w:sz w:val="28"/>
          <w:szCs w:val="28"/>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EB3C4C" w:rsidRPr="00EB3C4C" w:rsidRDefault="00EB3C4C" w:rsidP="00EB3C4C">
      <w:pPr>
        <w:widowControl w:val="0"/>
        <w:autoSpaceDE w:val="0"/>
        <w:autoSpaceDN w:val="0"/>
        <w:adjustRightInd w:val="0"/>
        <w:spacing w:after="0" w:line="240" w:lineRule="auto"/>
        <w:ind w:firstLine="709"/>
        <w:jc w:val="both"/>
        <w:rPr>
          <w:rFonts w:ascii="Times New Roman" w:hAnsi="Times New Roman"/>
          <w:sz w:val="28"/>
          <w:szCs w:val="28"/>
        </w:rPr>
      </w:pPr>
      <w:r w:rsidRPr="00EB3C4C">
        <w:rPr>
          <w:rFonts w:ascii="Times New Roman" w:hAnsi="Times New Roman"/>
          <w:sz w:val="28"/>
          <w:szCs w:val="28"/>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 xml:space="preserve">Межгосударственный стандарт ГОСТ 31984-2012 </w:t>
      </w:r>
    </w:p>
    <w:p w:rsidR="00EB3C4C" w:rsidRPr="00EB3C4C" w:rsidRDefault="00EB3C4C" w:rsidP="00EB3C4C">
      <w:pPr>
        <w:spacing w:after="0" w:line="240" w:lineRule="auto"/>
        <w:ind w:firstLine="709"/>
        <w:jc w:val="center"/>
        <w:rPr>
          <w:rFonts w:ascii="Times New Roman" w:hAnsi="Times New Roman"/>
          <w:sz w:val="28"/>
          <w:szCs w:val="28"/>
        </w:rPr>
      </w:pPr>
      <w:r w:rsidRPr="00EB3C4C">
        <w:rPr>
          <w:rFonts w:ascii="Times New Roman" w:hAnsi="Times New Roman"/>
          <w:b/>
          <w:sz w:val="28"/>
          <w:szCs w:val="28"/>
        </w:rPr>
        <w:t>«Услуги общественного питания. Общие требования»</w:t>
      </w:r>
      <w:r w:rsidRPr="00EB3C4C">
        <w:rPr>
          <w:rFonts w:ascii="Times New Roman" w:hAnsi="Times New Roman"/>
          <w:sz w:val="28"/>
          <w:szCs w:val="28"/>
        </w:rPr>
        <w:t xml:space="preserve">, </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 xml:space="preserve">введенный в действие Приказом Росстандарта </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от 27.06.2013 N 192-ст.</w:t>
      </w:r>
    </w:p>
    <w:p w:rsidR="00EB3C4C" w:rsidRPr="00EB3C4C" w:rsidRDefault="00EB3C4C" w:rsidP="00EB3C4C">
      <w:pPr>
        <w:spacing w:after="0" w:line="240" w:lineRule="auto"/>
        <w:ind w:firstLine="709"/>
        <w:jc w:val="center"/>
        <w:rPr>
          <w:rFonts w:ascii="Times New Roman" w:hAnsi="Times New Roman"/>
          <w:b/>
          <w:sz w:val="28"/>
          <w:szCs w:val="28"/>
        </w:rPr>
      </w:pPr>
      <w:r w:rsidRPr="00EB3C4C">
        <w:rPr>
          <w:rFonts w:ascii="Times New Roman" w:hAnsi="Times New Roman"/>
          <w:b/>
          <w:sz w:val="28"/>
          <w:szCs w:val="28"/>
        </w:rPr>
        <w:t>( И з в л е ч е н и я )</w:t>
      </w:r>
    </w:p>
    <w:p w:rsidR="00EB3C4C" w:rsidRPr="00EB3C4C" w:rsidRDefault="00EB3C4C" w:rsidP="00EB3C4C">
      <w:pPr>
        <w:spacing w:after="0" w:line="240" w:lineRule="auto"/>
        <w:ind w:firstLine="709"/>
        <w:jc w:val="both"/>
        <w:rPr>
          <w:rFonts w:ascii="Times New Roman" w:hAnsi="Times New Roman"/>
          <w:sz w:val="28"/>
          <w:szCs w:val="28"/>
        </w:rPr>
      </w:pPr>
      <w:r w:rsidRPr="00EB3C4C">
        <w:rPr>
          <w:rFonts w:ascii="Times New Roman" w:hAnsi="Times New Roman"/>
          <w:sz w:val="28"/>
          <w:szCs w:val="28"/>
        </w:rPr>
        <w:t>5.3.1 Требование социальной</w:t>
      </w:r>
      <w:r w:rsidR="00974316">
        <w:rPr>
          <w:rFonts w:ascii="Times New Roman" w:hAnsi="Times New Roman"/>
          <w:sz w:val="28"/>
          <w:szCs w:val="28"/>
        </w:rPr>
        <w:t xml:space="preserve"> </w:t>
      </w:r>
      <w:r w:rsidRPr="00EB3C4C">
        <w:rPr>
          <w:rFonts w:ascii="Times New Roman" w:hAnsi="Times New Roman"/>
          <w:sz w:val="28"/>
          <w:szCs w:val="28"/>
        </w:rPr>
        <w:t xml:space="preserve"> адресности услуг предусматривает:</w:t>
      </w:r>
    </w:p>
    <w:p w:rsidR="00EB3C4C" w:rsidRPr="00EB3C4C" w:rsidRDefault="00EB3C4C" w:rsidP="00EB3C4C">
      <w:pPr>
        <w:spacing w:after="0" w:line="240" w:lineRule="auto"/>
        <w:ind w:firstLine="709"/>
        <w:jc w:val="both"/>
        <w:rPr>
          <w:rFonts w:ascii="Times New Roman" w:hAnsi="Times New Roman"/>
          <w:sz w:val="28"/>
          <w:szCs w:val="28"/>
        </w:rPr>
      </w:pPr>
      <w:r w:rsidRPr="00EB3C4C">
        <w:rPr>
          <w:rFonts w:ascii="Times New Roman" w:hAnsi="Times New Roman"/>
          <w:sz w:val="28"/>
          <w:szCs w:val="28"/>
        </w:rPr>
        <w:t>- обеспеченность услугами общественного питания и доступность для потребителей различных категорий;</w:t>
      </w:r>
    </w:p>
    <w:p w:rsidR="00EB3C4C" w:rsidRPr="00EB3C4C" w:rsidRDefault="00EB3C4C" w:rsidP="00EB3C4C">
      <w:pPr>
        <w:spacing w:after="0" w:line="240" w:lineRule="auto"/>
        <w:ind w:firstLine="709"/>
        <w:jc w:val="both"/>
        <w:rPr>
          <w:rFonts w:ascii="Times New Roman" w:hAnsi="Times New Roman"/>
          <w:sz w:val="28"/>
          <w:szCs w:val="28"/>
        </w:rPr>
      </w:pPr>
      <w:r w:rsidRPr="00EB3C4C">
        <w:rPr>
          <w:rFonts w:ascii="Times New Roman" w:hAnsi="Times New Roman"/>
          <w:sz w:val="28"/>
          <w:szCs w:val="28"/>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EB3C4C" w:rsidRPr="00EB3C4C" w:rsidRDefault="00EB3C4C" w:rsidP="00EB3C4C">
      <w:pPr>
        <w:spacing w:after="0" w:line="240" w:lineRule="auto"/>
        <w:ind w:firstLine="709"/>
        <w:jc w:val="both"/>
        <w:rPr>
          <w:rFonts w:ascii="Times New Roman" w:hAnsi="Times New Roman"/>
          <w:sz w:val="28"/>
          <w:szCs w:val="28"/>
        </w:rPr>
      </w:pPr>
      <w:r w:rsidRPr="00EB3C4C">
        <w:rPr>
          <w:rFonts w:ascii="Times New Roman" w:hAnsi="Times New Roman"/>
          <w:sz w:val="28"/>
          <w:szCs w:val="28"/>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EB3C4C" w:rsidRPr="00EB3C4C" w:rsidRDefault="00EB3C4C" w:rsidP="00EB3C4C">
      <w:pPr>
        <w:spacing w:after="0" w:line="240" w:lineRule="auto"/>
        <w:ind w:firstLine="709"/>
        <w:jc w:val="both"/>
        <w:rPr>
          <w:rFonts w:ascii="Times New Roman" w:hAnsi="Times New Roman"/>
          <w:sz w:val="28"/>
          <w:szCs w:val="28"/>
        </w:rPr>
      </w:pPr>
      <w:r w:rsidRPr="00EB3C4C">
        <w:rPr>
          <w:rFonts w:ascii="Times New Roman" w:hAnsi="Times New Roman"/>
          <w:sz w:val="28"/>
          <w:szCs w:val="28"/>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EB3C4C" w:rsidRPr="00EB3C4C" w:rsidRDefault="00EB3C4C" w:rsidP="00C235E3">
      <w:pPr>
        <w:spacing w:after="0" w:line="240" w:lineRule="auto"/>
        <w:ind w:firstLine="709"/>
        <w:jc w:val="both"/>
        <w:rPr>
          <w:rFonts w:ascii="Times New Roman" w:hAnsi="Times New Roman"/>
          <w:sz w:val="28"/>
          <w:szCs w:val="28"/>
        </w:rPr>
      </w:pPr>
    </w:p>
    <w:sectPr w:rsidR="00EB3C4C" w:rsidRPr="00EB3C4C" w:rsidSect="00B55B69">
      <w:headerReference w:type="default" r:id="rId15"/>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5F" w:rsidRDefault="005E735F" w:rsidP="00B55B69">
      <w:pPr>
        <w:spacing w:after="0" w:line="240" w:lineRule="auto"/>
      </w:pPr>
      <w:r>
        <w:separator/>
      </w:r>
    </w:p>
  </w:endnote>
  <w:endnote w:type="continuationSeparator" w:id="0">
    <w:p w:rsidR="005E735F" w:rsidRDefault="005E735F" w:rsidP="00B55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5F" w:rsidRDefault="005E735F" w:rsidP="00B55B69">
      <w:pPr>
        <w:spacing w:after="0" w:line="240" w:lineRule="auto"/>
      </w:pPr>
      <w:r>
        <w:separator/>
      </w:r>
    </w:p>
  </w:footnote>
  <w:footnote w:type="continuationSeparator" w:id="0">
    <w:p w:rsidR="005E735F" w:rsidRDefault="005E735F" w:rsidP="00B55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B69" w:rsidRDefault="00B55B69">
    <w:pPr>
      <w:pStyle w:val="a6"/>
      <w:jc w:val="center"/>
    </w:pPr>
    <w:fldSimple w:instr="PAGE   \* MERGEFORMAT">
      <w:r w:rsidR="00154B7F">
        <w:rPr>
          <w:noProof/>
        </w:rPr>
        <w:t>8</w:t>
      </w:r>
    </w:fldSimple>
  </w:p>
  <w:p w:rsidR="00B55B69" w:rsidRDefault="00B55B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2C66"/>
    <w:multiLevelType w:val="hybridMultilevel"/>
    <w:tmpl w:val="0D98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0DC2"/>
    <w:rsid w:val="00002BC2"/>
    <w:rsid w:val="000B5775"/>
    <w:rsid w:val="00154B7F"/>
    <w:rsid w:val="002A4C8D"/>
    <w:rsid w:val="00347D1C"/>
    <w:rsid w:val="0036297A"/>
    <w:rsid w:val="005E735F"/>
    <w:rsid w:val="007430BB"/>
    <w:rsid w:val="00974316"/>
    <w:rsid w:val="00B2454C"/>
    <w:rsid w:val="00B55B69"/>
    <w:rsid w:val="00C235E3"/>
    <w:rsid w:val="00D40DC2"/>
    <w:rsid w:val="00EB3C4C"/>
    <w:rsid w:val="00F54EB9"/>
    <w:rsid w:val="00FB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5E3"/>
    <w:pPr>
      <w:ind w:left="720"/>
      <w:contextualSpacing/>
    </w:pPr>
  </w:style>
  <w:style w:type="paragraph" w:styleId="a4">
    <w:name w:val="Balloon Text"/>
    <w:basedOn w:val="a"/>
    <w:link w:val="a5"/>
    <w:uiPriority w:val="99"/>
    <w:semiHidden/>
    <w:unhideWhenUsed/>
    <w:rsid w:val="00EB3C4C"/>
    <w:pPr>
      <w:spacing w:after="0" w:line="240" w:lineRule="auto"/>
    </w:pPr>
    <w:rPr>
      <w:rFonts w:ascii="Tahoma" w:hAnsi="Tahoma"/>
      <w:sz w:val="16"/>
      <w:szCs w:val="16"/>
      <w:lang/>
    </w:rPr>
  </w:style>
  <w:style w:type="character" w:customStyle="1" w:styleId="a5">
    <w:name w:val="Текст выноски Знак"/>
    <w:link w:val="a4"/>
    <w:uiPriority w:val="99"/>
    <w:semiHidden/>
    <w:rsid w:val="00EB3C4C"/>
    <w:rPr>
      <w:rFonts w:ascii="Tahoma" w:hAnsi="Tahoma" w:cs="Tahoma"/>
      <w:sz w:val="16"/>
      <w:szCs w:val="16"/>
    </w:rPr>
  </w:style>
  <w:style w:type="paragraph" w:styleId="a6">
    <w:name w:val="header"/>
    <w:basedOn w:val="a"/>
    <w:link w:val="a7"/>
    <w:uiPriority w:val="99"/>
    <w:unhideWhenUsed/>
    <w:rsid w:val="00B55B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5B69"/>
  </w:style>
  <w:style w:type="paragraph" w:styleId="a8">
    <w:name w:val="footer"/>
    <w:basedOn w:val="a"/>
    <w:link w:val="a9"/>
    <w:uiPriority w:val="99"/>
    <w:unhideWhenUsed/>
    <w:rsid w:val="00B55B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B69"/>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439856&amp;sub=0" TargetMode="External"/><Relationship Id="rId13" Type="http://schemas.openxmlformats.org/officeDocument/2006/relationships/hyperlink" Target="http://ivo.garant.ru/document?id=70058682&amp;sub=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vo.garant.ru/document?id=70439856&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439856&amp;su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vo.garant.ru/document?id=70439856&amp;sub=0" TargetMode="External"/><Relationship Id="rId14" Type="http://schemas.openxmlformats.org/officeDocument/2006/relationships/hyperlink" Target="http://ivo.garant.ru/document?id=704398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19801</CharactersWithSpaces>
  <SharedDoc>false</SharedDoc>
  <HLinks>
    <vt:vector size="42" baseType="variant">
      <vt:variant>
        <vt:i4>3342395</vt:i4>
      </vt:variant>
      <vt:variant>
        <vt:i4>24</vt:i4>
      </vt:variant>
      <vt:variant>
        <vt:i4>0</vt:i4>
      </vt:variant>
      <vt:variant>
        <vt:i4>5</vt:i4>
      </vt:variant>
      <vt:variant>
        <vt:lpwstr>http://ivo.garant.ru/document?id=70439856&amp;sub=0</vt:lpwstr>
      </vt:variant>
      <vt:variant>
        <vt:lpwstr/>
      </vt:variant>
      <vt:variant>
        <vt:i4>3866679</vt:i4>
      </vt:variant>
      <vt:variant>
        <vt:i4>21</vt:i4>
      </vt:variant>
      <vt:variant>
        <vt:i4>0</vt:i4>
      </vt:variant>
      <vt:variant>
        <vt:i4>5</vt:i4>
      </vt:variant>
      <vt:variant>
        <vt:lpwstr>http://ivo.garant.ru/document?id=70058682&amp;sub=0</vt:lpwstr>
      </vt:variant>
      <vt:variant>
        <vt:lpwstr/>
      </vt:variant>
      <vt:variant>
        <vt:i4>3342395</vt:i4>
      </vt:variant>
      <vt:variant>
        <vt:i4>18</vt:i4>
      </vt:variant>
      <vt:variant>
        <vt:i4>0</vt:i4>
      </vt:variant>
      <vt:variant>
        <vt:i4>5</vt:i4>
      </vt:variant>
      <vt:variant>
        <vt:lpwstr>http://ivo.garant.ru/document?id=70439856&amp;sub=0</vt:lpwstr>
      </vt:variant>
      <vt:variant>
        <vt:lpwstr/>
      </vt:variant>
      <vt:variant>
        <vt:i4>3342395</vt:i4>
      </vt:variant>
      <vt:variant>
        <vt:i4>15</vt:i4>
      </vt:variant>
      <vt:variant>
        <vt:i4>0</vt:i4>
      </vt:variant>
      <vt:variant>
        <vt:i4>5</vt:i4>
      </vt:variant>
      <vt:variant>
        <vt:lpwstr>http://ivo.garant.ru/document?id=70439856&amp;sub=0</vt:lpwstr>
      </vt:variant>
      <vt:variant>
        <vt:lpwstr/>
      </vt:variant>
      <vt:variant>
        <vt:i4>3342395</vt:i4>
      </vt:variant>
      <vt:variant>
        <vt:i4>12</vt:i4>
      </vt:variant>
      <vt:variant>
        <vt:i4>0</vt:i4>
      </vt:variant>
      <vt:variant>
        <vt:i4>5</vt:i4>
      </vt:variant>
      <vt:variant>
        <vt:lpwstr>http://ivo.garant.ru/document?id=70439856&amp;sub=0</vt:lpwstr>
      </vt:variant>
      <vt:variant>
        <vt:lpwstr/>
      </vt:variant>
      <vt:variant>
        <vt:i4>3342395</vt:i4>
      </vt:variant>
      <vt:variant>
        <vt:i4>9</vt:i4>
      </vt:variant>
      <vt:variant>
        <vt:i4>0</vt:i4>
      </vt:variant>
      <vt:variant>
        <vt:i4>5</vt:i4>
      </vt:variant>
      <vt:variant>
        <vt:lpwstr>http://ivo.garant.ru/document?id=70439856&amp;sub=0</vt:lpwstr>
      </vt:variant>
      <vt:variant>
        <vt:lpwstr/>
      </vt:variant>
      <vt:variant>
        <vt:i4>1703968</vt:i4>
      </vt:variant>
      <vt:variant>
        <vt:i4>6</vt:i4>
      </vt:variant>
      <vt:variant>
        <vt:i4>0</vt:i4>
      </vt:variant>
      <vt:variant>
        <vt:i4>5</vt:i4>
      </vt:variant>
      <vt:variant>
        <vt:lpwstr/>
      </vt:variant>
      <vt:variant>
        <vt:lpwstr>sub_108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ИКТ</cp:lastModifiedBy>
  <cp:revision>2</cp:revision>
  <cp:lastPrinted>2016-07-25T12:55:00Z</cp:lastPrinted>
  <dcterms:created xsi:type="dcterms:W3CDTF">2016-08-19T10:35:00Z</dcterms:created>
  <dcterms:modified xsi:type="dcterms:W3CDTF">2016-08-19T10:35:00Z</dcterms:modified>
</cp:coreProperties>
</file>