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FA6C2C" w:rsidRPr="00091924">
        <w:rPr>
          <w:rFonts w:ascii="Arial" w:eastAsia="Arial" w:hAnsi="Arial" w:cs="Arial"/>
          <w:color w:val="000000" w:themeColor="text1"/>
          <w:sz w:val="24"/>
        </w:rPr>
        <w:t>2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FA6C2C">
        <w:rPr>
          <w:rFonts w:ascii="Arial" w:eastAsia="Arial" w:hAnsi="Arial" w:cs="Arial"/>
          <w:sz w:val="24"/>
        </w:rPr>
        <w:t xml:space="preserve"> </w:t>
      </w:r>
      <w:r w:rsidR="00032D8F">
        <w:rPr>
          <w:rFonts w:ascii="Arial" w:eastAsia="Arial" w:hAnsi="Arial" w:cs="Arial"/>
          <w:sz w:val="24"/>
        </w:rPr>
        <w:t>августа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E06A5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74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с.Никольское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5C03F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032D8F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201</w:t>
      </w:r>
      <w:r w:rsidR="00E06A5F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032D8F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E06A5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032D8F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E06A5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032D8F">
        <w:rPr>
          <w:rFonts w:ascii="Arial" w:eastAsia="Arial" w:hAnsi="Arial" w:cs="Arial"/>
          <w:sz w:val="24"/>
        </w:rPr>
        <w:t>1532,1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032D8F">
        <w:rPr>
          <w:rFonts w:ascii="Arial" w:eastAsia="Arial" w:hAnsi="Arial" w:cs="Arial"/>
          <w:sz w:val="24"/>
        </w:rPr>
        <w:t>1494,2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032D8F">
        <w:rPr>
          <w:rFonts w:ascii="Arial" w:eastAsia="Arial" w:hAnsi="Arial" w:cs="Arial"/>
          <w:sz w:val="24"/>
        </w:rPr>
        <w:t>ами (про</w:t>
      </w:r>
      <w:r w:rsidR="006F5AF3">
        <w:rPr>
          <w:rFonts w:ascii="Arial" w:eastAsia="Arial" w:hAnsi="Arial" w:cs="Arial"/>
          <w:sz w:val="24"/>
        </w:rPr>
        <w:t xml:space="preserve">фицит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032D8F">
        <w:rPr>
          <w:rFonts w:ascii="Arial" w:eastAsia="Arial" w:hAnsi="Arial" w:cs="Arial"/>
          <w:sz w:val="24"/>
        </w:rPr>
        <w:t>37,9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</w:t>
      </w:r>
      <w:r w:rsidR="001920FF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201</w:t>
      </w:r>
      <w:r w:rsidR="00E06A5F">
        <w:rPr>
          <w:rFonts w:ascii="Arial" w:eastAsia="Arial" w:hAnsi="Arial" w:cs="Arial"/>
          <w:sz w:val="24"/>
        </w:rPr>
        <w:t>8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1920FF">
        <w:rPr>
          <w:rFonts w:ascii="Arial" w:eastAsia="Arial" w:hAnsi="Arial" w:cs="Arial"/>
          <w:sz w:val="24"/>
        </w:rPr>
        <w:t>полугодие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E06A5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</w:t>
      </w:r>
      <w:r w:rsidR="001920FF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201</w:t>
      </w:r>
      <w:r w:rsidR="00E06A5F">
        <w:rPr>
          <w:rFonts w:ascii="Arial" w:eastAsia="Arial" w:hAnsi="Arial" w:cs="Arial"/>
          <w:sz w:val="24"/>
        </w:rPr>
        <w:t>8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5C03FA">
        <w:rPr>
          <w:rFonts w:ascii="Arial" w:eastAsia="Arial" w:hAnsi="Arial" w:cs="Arial"/>
          <w:sz w:val="24"/>
        </w:rPr>
        <w:t xml:space="preserve">1 </w:t>
      </w:r>
      <w:r w:rsidR="001920FF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201</w:t>
      </w:r>
      <w:r w:rsidR="00E06A5F">
        <w:rPr>
          <w:rFonts w:ascii="Arial" w:eastAsia="Arial" w:hAnsi="Arial" w:cs="Arial"/>
          <w:sz w:val="24"/>
        </w:rPr>
        <w:t>8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5C03FA">
        <w:rPr>
          <w:rFonts w:ascii="Arial" w:eastAsia="Arial" w:hAnsi="Arial" w:cs="Arial"/>
          <w:sz w:val="24"/>
        </w:rPr>
        <w:t xml:space="preserve">1 </w:t>
      </w:r>
      <w:r w:rsidR="001920FF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201</w:t>
      </w:r>
      <w:r w:rsidR="00B0756A">
        <w:rPr>
          <w:rFonts w:ascii="Arial" w:eastAsia="Arial" w:hAnsi="Arial" w:cs="Arial"/>
          <w:sz w:val="24"/>
        </w:rPr>
        <w:t>8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>Пояснительная записка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к отчету об исполнении бюджета </w:t>
      </w:r>
      <w:r>
        <w:rPr>
          <w:rFonts w:ascii="Arial" w:eastAsia="Arial" w:hAnsi="Arial" w:cs="Arial"/>
          <w:sz w:val="24"/>
        </w:rPr>
        <w:t>сельского поселения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за 1 </w:t>
      </w:r>
      <w:r w:rsidR="001920FF">
        <w:rPr>
          <w:rFonts w:ascii="Arial" w:eastAsia="Arial" w:hAnsi="Arial" w:cs="Arial"/>
          <w:sz w:val="24"/>
        </w:rPr>
        <w:t>полугодие</w:t>
      </w:r>
      <w:r w:rsidRPr="00673129">
        <w:rPr>
          <w:rFonts w:ascii="Arial" w:eastAsia="Arial" w:hAnsi="Arial" w:cs="Arial"/>
          <w:sz w:val="24"/>
        </w:rPr>
        <w:t xml:space="preserve"> 2018 года</w:t>
      </w: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ab/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1 </w:t>
      </w:r>
      <w:r w:rsidR="001920FF">
        <w:rPr>
          <w:rFonts w:ascii="Arial" w:eastAsia="Arial" w:hAnsi="Arial" w:cs="Arial"/>
          <w:sz w:val="24"/>
        </w:rPr>
        <w:t>полугодие</w:t>
      </w:r>
      <w:r w:rsidRPr="00673129">
        <w:rPr>
          <w:rFonts w:ascii="Arial" w:eastAsia="Arial" w:hAnsi="Arial" w:cs="Arial"/>
          <w:sz w:val="24"/>
        </w:rPr>
        <w:t xml:space="preserve"> 2018 года по доходам исполнен в сумме </w:t>
      </w:r>
      <w:r w:rsidR="00453193">
        <w:rPr>
          <w:rFonts w:ascii="Arial" w:eastAsia="Arial" w:hAnsi="Arial" w:cs="Arial"/>
          <w:sz w:val="24"/>
        </w:rPr>
        <w:t>1532,1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453193">
        <w:rPr>
          <w:rFonts w:ascii="Arial" w:eastAsia="Arial" w:hAnsi="Arial" w:cs="Arial"/>
          <w:sz w:val="24"/>
        </w:rPr>
        <w:t>73,0</w:t>
      </w:r>
      <w:r w:rsidRPr="00673129"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неналоговых доходов поступило </w:t>
      </w:r>
      <w:r w:rsidR="00453193">
        <w:rPr>
          <w:rFonts w:ascii="Arial" w:eastAsia="Arial" w:hAnsi="Arial" w:cs="Arial"/>
          <w:sz w:val="24"/>
        </w:rPr>
        <w:t>617,8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453193">
        <w:rPr>
          <w:rFonts w:ascii="Arial" w:eastAsia="Arial" w:hAnsi="Arial" w:cs="Arial"/>
          <w:sz w:val="24"/>
        </w:rPr>
        <w:t>40,3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53193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453193">
        <w:rPr>
          <w:rFonts w:ascii="Arial" w:eastAsia="Arial" w:hAnsi="Arial" w:cs="Arial"/>
          <w:sz w:val="24"/>
        </w:rPr>
        <w:t>939,4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453193">
        <w:rPr>
          <w:rFonts w:ascii="Arial" w:eastAsia="Arial" w:hAnsi="Arial" w:cs="Arial"/>
          <w:sz w:val="24"/>
        </w:rPr>
        <w:t>61</w:t>
      </w:r>
      <w:r>
        <w:rPr>
          <w:rFonts w:ascii="Arial" w:eastAsia="Arial" w:hAnsi="Arial" w:cs="Arial"/>
          <w:sz w:val="24"/>
        </w:rPr>
        <w:t>,3</w:t>
      </w:r>
      <w:r w:rsidRPr="00673129"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673129" w:rsidRPr="00E05316" w:rsidRDefault="00673129" w:rsidP="00E0531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453193">
        <w:rPr>
          <w:rFonts w:ascii="Arial" w:eastAsia="Arial" w:hAnsi="Arial" w:cs="Arial"/>
          <w:sz w:val="24"/>
        </w:rPr>
        <w:t>40,3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53193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453193" w:rsidRPr="00E05316">
        <w:rPr>
          <w:rFonts w:ascii="Arial" w:eastAsia="Arial" w:hAnsi="Arial" w:cs="Arial"/>
          <w:color w:val="000000" w:themeColor="text1"/>
          <w:sz w:val="24"/>
        </w:rPr>
        <w:t>796,7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453193" w:rsidRPr="00E05316">
        <w:rPr>
          <w:rFonts w:ascii="Arial" w:eastAsia="Arial" w:hAnsi="Arial" w:cs="Arial"/>
          <w:color w:val="000000" w:themeColor="text1"/>
          <w:sz w:val="24"/>
        </w:rPr>
        <w:t>617,8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что на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3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97,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выш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е аналогичного периода 2017 года, 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у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в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лич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ение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голом сложилось за счет поступлений в первом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полугодии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201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доходов от</w:t>
      </w:r>
      <w:r w:rsidR="00E0531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продажи земельных участков</w:t>
      </w:r>
      <w:r w:rsidRPr="00E05316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 </w:t>
      </w:r>
      <w:r w:rsidR="00673129" w:rsidRPr="00673129">
        <w:rPr>
          <w:rFonts w:ascii="Arial" w:eastAsia="Arial" w:hAnsi="Arial" w:cs="Arial"/>
          <w:sz w:val="24"/>
        </w:rPr>
        <w:t xml:space="preserve">За 1 </w:t>
      </w:r>
      <w:r>
        <w:rPr>
          <w:rFonts w:ascii="Arial" w:eastAsia="Arial" w:hAnsi="Arial" w:cs="Arial"/>
          <w:sz w:val="24"/>
        </w:rPr>
        <w:t>полугодие</w:t>
      </w:r>
      <w:r w:rsidR="00673129" w:rsidRPr="00673129">
        <w:rPr>
          <w:rFonts w:ascii="Arial" w:eastAsia="Arial" w:hAnsi="Arial" w:cs="Arial"/>
          <w:sz w:val="24"/>
        </w:rPr>
        <w:t xml:space="preserve"> 2018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939,4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 </w:t>
      </w:r>
      <w:r>
        <w:rPr>
          <w:rFonts w:ascii="Arial" w:eastAsia="Arial" w:hAnsi="Arial" w:cs="Arial"/>
          <w:sz w:val="24"/>
        </w:rPr>
        <w:t>313,6</w:t>
      </w:r>
      <w:r w:rsidR="00673129" w:rsidRPr="00673129">
        <w:rPr>
          <w:rFonts w:ascii="Arial" w:eastAsia="Arial" w:hAnsi="Arial" w:cs="Arial"/>
          <w:sz w:val="24"/>
        </w:rPr>
        <w:t xml:space="preserve"> тыс. рублей, дотации на поддержку мер по обеспечению сбалансированности </w:t>
      </w:r>
      <w:r>
        <w:rPr>
          <w:rFonts w:ascii="Arial" w:eastAsia="Arial" w:hAnsi="Arial" w:cs="Arial"/>
          <w:sz w:val="24"/>
        </w:rPr>
        <w:t>326</w:t>
      </w:r>
      <w:r w:rsidR="00721F7C">
        <w:rPr>
          <w:rFonts w:ascii="Arial" w:eastAsia="Arial" w:hAnsi="Arial" w:cs="Arial"/>
          <w:sz w:val="24"/>
        </w:rPr>
        <w:t>,5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257,4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41,9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1 </w:t>
      </w:r>
      <w:r w:rsidR="00790598">
        <w:rPr>
          <w:rFonts w:ascii="Arial" w:eastAsia="Arial" w:hAnsi="Arial" w:cs="Arial"/>
          <w:sz w:val="24"/>
        </w:rPr>
        <w:t>полугодие</w:t>
      </w:r>
      <w:r w:rsidR="00673129" w:rsidRPr="00673129">
        <w:rPr>
          <w:rFonts w:ascii="Arial" w:eastAsia="Arial" w:hAnsi="Arial" w:cs="Arial"/>
          <w:sz w:val="24"/>
        </w:rPr>
        <w:t xml:space="preserve"> 2018 года сложились в сумме </w:t>
      </w:r>
      <w:r w:rsidR="00790598">
        <w:rPr>
          <w:rFonts w:ascii="Arial" w:eastAsia="Arial" w:hAnsi="Arial" w:cs="Arial"/>
          <w:sz w:val="24"/>
        </w:rPr>
        <w:t>1494,2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790598">
        <w:rPr>
          <w:rFonts w:ascii="Arial" w:eastAsia="Arial" w:hAnsi="Arial" w:cs="Arial"/>
          <w:sz w:val="24"/>
        </w:rPr>
        <w:t>71,2</w:t>
      </w:r>
      <w:r w:rsidR="00673129" w:rsidRPr="00673129">
        <w:rPr>
          <w:rFonts w:ascii="Arial" w:eastAsia="Arial" w:hAnsi="Arial" w:cs="Arial"/>
          <w:sz w:val="24"/>
        </w:rPr>
        <w:t xml:space="preserve"> процента годового плана. К аналогичному периоду прошлого года расходы увеличение составило </w:t>
      </w:r>
      <w:r w:rsidR="00790598">
        <w:rPr>
          <w:rFonts w:ascii="Arial" w:eastAsia="Arial" w:hAnsi="Arial" w:cs="Arial"/>
          <w:sz w:val="24"/>
        </w:rPr>
        <w:t>593,5</w:t>
      </w:r>
      <w:r w:rsidR="00673129" w:rsidRPr="00673129">
        <w:rPr>
          <w:rFonts w:ascii="Arial" w:eastAsia="Arial" w:hAnsi="Arial" w:cs="Arial"/>
          <w:sz w:val="24"/>
        </w:rPr>
        <w:t xml:space="preserve"> тыс.  рублей.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1 </w:t>
      </w:r>
      <w:r w:rsidR="00790598">
        <w:rPr>
          <w:rFonts w:ascii="Arial" w:eastAsia="Arial" w:hAnsi="Arial" w:cs="Arial"/>
          <w:sz w:val="24"/>
        </w:rPr>
        <w:t>полугодие</w:t>
      </w:r>
      <w:r w:rsidR="00673129" w:rsidRPr="00673129">
        <w:rPr>
          <w:rFonts w:ascii="Arial" w:eastAsia="Arial" w:hAnsi="Arial" w:cs="Arial"/>
          <w:sz w:val="24"/>
        </w:rPr>
        <w:t xml:space="preserve"> 2018 года сложились в сумме </w:t>
      </w:r>
      <w:r w:rsidR="00790598">
        <w:rPr>
          <w:rFonts w:ascii="Arial" w:eastAsia="Arial" w:hAnsi="Arial" w:cs="Arial"/>
          <w:sz w:val="24"/>
        </w:rPr>
        <w:t>591,5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3</w:t>
      </w:r>
      <w:r w:rsidR="00790598">
        <w:rPr>
          <w:rFonts w:ascii="Arial" w:eastAsia="Arial" w:hAnsi="Arial" w:cs="Arial"/>
          <w:sz w:val="24"/>
        </w:rPr>
        <w:t>9</w:t>
      </w:r>
      <w:r w:rsidR="00433428">
        <w:rPr>
          <w:rFonts w:ascii="Arial" w:eastAsia="Arial" w:hAnsi="Arial" w:cs="Arial"/>
          <w:sz w:val="24"/>
        </w:rPr>
        <w:t>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79059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общей суммы расходов первого </w:t>
      </w:r>
      <w:r w:rsidR="00790598">
        <w:rPr>
          <w:rFonts w:ascii="Arial" w:eastAsia="Arial" w:hAnsi="Arial" w:cs="Arial"/>
          <w:sz w:val="24"/>
        </w:rPr>
        <w:t>полугодия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790598">
        <w:rPr>
          <w:rFonts w:ascii="Arial" w:eastAsia="Arial" w:hAnsi="Arial" w:cs="Arial"/>
          <w:sz w:val="24"/>
        </w:rPr>
        <w:t>399,4</w:t>
      </w:r>
      <w:r w:rsidR="00673129" w:rsidRPr="00673129">
        <w:rPr>
          <w:rFonts w:ascii="Arial" w:eastAsia="Arial" w:hAnsi="Arial" w:cs="Arial"/>
          <w:sz w:val="24"/>
        </w:rPr>
        <w:t xml:space="preserve"> тыс. рублей. </w:t>
      </w:r>
      <w:r>
        <w:rPr>
          <w:rFonts w:ascii="Arial" w:eastAsia="Arial" w:hAnsi="Arial" w:cs="Arial"/>
          <w:sz w:val="24"/>
        </w:rPr>
        <w:t xml:space="preserve">        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790598">
        <w:rPr>
          <w:rFonts w:ascii="Arial" w:eastAsia="Arial" w:hAnsi="Arial" w:cs="Arial"/>
          <w:sz w:val="24"/>
        </w:rPr>
        <w:t>708,3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790598">
        <w:rPr>
          <w:rFonts w:ascii="Arial" w:eastAsia="Arial" w:hAnsi="Arial" w:cs="Arial"/>
          <w:sz w:val="24"/>
        </w:rPr>
        <w:t xml:space="preserve">47,4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79059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790598">
        <w:rPr>
          <w:rFonts w:ascii="Arial" w:eastAsia="Arial" w:hAnsi="Arial" w:cs="Arial"/>
          <w:sz w:val="24"/>
        </w:rPr>
        <w:t>81,1</w:t>
      </w:r>
      <w:r w:rsidR="00673129" w:rsidRPr="00673129">
        <w:rPr>
          <w:rFonts w:ascii="Arial" w:eastAsia="Arial" w:hAnsi="Arial" w:cs="Arial"/>
          <w:sz w:val="24"/>
        </w:rPr>
        <w:t xml:space="preserve"> процент. Норматив расходов по аппарату управления не превышен.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оборона" расходы составили </w:t>
      </w:r>
      <w:r w:rsidR="00790598">
        <w:rPr>
          <w:rFonts w:ascii="Arial" w:eastAsia="Arial" w:hAnsi="Arial" w:cs="Arial"/>
          <w:sz w:val="24"/>
        </w:rPr>
        <w:t>41,2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790598">
        <w:rPr>
          <w:rFonts w:ascii="Arial" w:eastAsia="Arial" w:hAnsi="Arial" w:cs="Arial"/>
          <w:sz w:val="24"/>
        </w:rPr>
        <w:t>49,1</w:t>
      </w:r>
      <w:r w:rsidR="00673129" w:rsidRPr="00673129">
        <w:rPr>
          <w:rFonts w:ascii="Arial" w:eastAsia="Arial" w:hAnsi="Arial" w:cs="Arial"/>
          <w:sz w:val="24"/>
        </w:rPr>
        <w:t xml:space="preserve"> процент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2018 год на осуществление первичного воинского учета на территориях, где отсутствуют военные комиссариаты.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экономика" расходы составили </w:t>
      </w:r>
      <w:r w:rsidR="00433428">
        <w:rPr>
          <w:rFonts w:ascii="Arial" w:eastAsia="Arial" w:hAnsi="Arial" w:cs="Arial"/>
          <w:sz w:val="24"/>
        </w:rPr>
        <w:t>1</w:t>
      </w:r>
      <w:r w:rsidR="00790598">
        <w:rPr>
          <w:rFonts w:ascii="Arial" w:eastAsia="Arial" w:hAnsi="Arial" w:cs="Arial"/>
          <w:sz w:val="24"/>
        </w:rPr>
        <w:t>5</w:t>
      </w:r>
      <w:r w:rsidR="00433428">
        <w:rPr>
          <w:rFonts w:ascii="Arial" w:eastAsia="Arial" w:hAnsi="Arial" w:cs="Arial"/>
          <w:sz w:val="24"/>
        </w:rPr>
        <w:t>1,</w:t>
      </w:r>
      <w:r w:rsidR="00790598">
        <w:rPr>
          <w:rFonts w:ascii="Arial" w:eastAsia="Arial" w:hAnsi="Arial" w:cs="Arial"/>
          <w:sz w:val="24"/>
        </w:rPr>
        <w:t>7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годовом плане </w:t>
      </w:r>
      <w:r w:rsidR="00433428">
        <w:rPr>
          <w:rFonts w:ascii="Arial" w:eastAsia="Arial" w:hAnsi="Arial" w:cs="Arial"/>
          <w:sz w:val="24"/>
        </w:rPr>
        <w:t>250,9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процент исполнения </w:t>
      </w:r>
      <w:r w:rsidR="00790598">
        <w:rPr>
          <w:rFonts w:ascii="Arial" w:eastAsia="Arial" w:hAnsi="Arial" w:cs="Arial"/>
          <w:sz w:val="24"/>
        </w:rPr>
        <w:t>6</w:t>
      </w:r>
      <w:r w:rsidR="00433428">
        <w:rPr>
          <w:rFonts w:ascii="Arial" w:eastAsia="Arial" w:hAnsi="Arial" w:cs="Arial"/>
          <w:sz w:val="24"/>
        </w:rPr>
        <w:t>0,</w:t>
      </w:r>
      <w:r w:rsidR="00790598">
        <w:rPr>
          <w:rFonts w:ascii="Arial" w:eastAsia="Arial" w:hAnsi="Arial" w:cs="Arial"/>
          <w:sz w:val="24"/>
        </w:rPr>
        <w:t>5</w:t>
      </w:r>
      <w:r w:rsidR="00673129" w:rsidRPr="00673129">
        <w:rPr>
          <w:rFonts w:ascii="Arial" w:eastAsia="Arial" w:hAnsi="Arial" w:cs="Arial"/>
          <w:sz w:val="24"/>
        </w:rPr>
        <w:t>.</w:t>
      </w:r>
    </w:p>
    <w:p w:rsidR="00433428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433428">
        <w:rPr>
          <w:rFonts w:ascii="Arial" w:eastAsia="Arial" w:hAnsi="Arial" w:cs="Arial"/>
          <w:sz w:val="24"/>
        </w:rPr>
        <w:t>1,</w:t>
      </w:r>
      <w:r w:rsidR="00790598">
        <w:rPr>
          <w:rFonts w:ascii="Arial" w:eastAsia="Arial" w:hAnsi="Arial" w:cs="Arial"/>
          <w:sz w:val="24"/>
        </w:rPr>
        <w:t>5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433428">
        <w:rPr>
          <w:rFonts w:ascii="Arial" w:eastAsia="Arial" w:hAnsi="Arial" w:cs="Arial"/>
          <w:sz w:val="24"/>
        </w:rPr>
        <w:t>60,2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790598">
        <w:rPr>
          <w:rFonts w:ascii="Arial" w:eastAsia="Arial" w:hAnsi="Arial" w:cs="Arial"/>
          <w:sz w:val="24"/>
        </w:rPr>
        <w:t>591,5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790598">
        <w:rPr>
          <w:rFonts w:ascii="Arial" w:eastAsia="Arial" w:hAnsi="Arial" w:cs="Arial"/>
          <w:sz w:val="24"/>
        </w:rPr>
        <w:t>71,2</w:t>
      </w:r>
      <w:r w:rsidR="00673129" w:rsidRPr="00673129">
        <w:rPr>
          <w:rFonts w:ascii="Arial" w:eastAsia="Arial" w:hAnsi="Arial" w:cs="Arial"/>
          <w:sz w:val="24"/>
        </w:rPr>
        <w:t xml:space="preserve"> процента от утвержденных плановых назначений на 2018 год. Из общей суммы ассигнований расходы на заработную плату и начисления на нее (с учетом 241 статьи) составили </w:t>
      </w:r>
      <w:r w:rsidR="00790598">
        <w:rPr>
          <w:rFonts w:ascii="Arial" w:eastAsia="Arial" w:hAnsi="Arial" w:cs="Arial"/>
          <w:sz w:val="24"/>
        </w:rPr>
        <w:t>399,4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864168">
        <w:rPr>
          <w:rFonts w:ascii="Arial" w:eastAsia="Arial" w:hAnsi="Arial" w:cs="Arial"/>
          <w:sz w:val="24"/>
        </w:rPr>
        <w:t>71,2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6416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в первом </w:t>
      </w:r>
      <w:r w:rsidR="00864168">
        <w:rPr>
          <w:rFonts w:ascii="Arial" w:eastAsia="Arial" w:hAnsi="Arial" w:cs="Arial"/>
          <w:sz w:val="24"/>
        </w:rPr>
        <w:t>полугодии</w:t>
      </w:r>
      <w:r w:rsidR="00673129" w:rsidRPr="00673129">
        <w:rPr>
          <w:rFonts w:ascii="Arial" w:eastAsia="Arial" w:hAnsi="Arial" w:cs="Arial"/>
          <w:sz w:val="24"/>
        </w:rPr>
        <w:t xml:space="preserve"> 2018 года не осуществлялось.</w:t>
      </w:r>
    </w:p>
    <w:p w:rsidR="00186C16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перв</w:t>
      </w:r>
      <w:r w:rsidR="00864168">
        <w:rPr>
          <w:rFonts w:ascii="Arial" w:eastAsia="Arial" w:hAnsi="Arial" w:cs="Arial"/>
          <w:sz w:val="24"/>
        </w:rPr>
        <w:t>ое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864168">
        <w:rPr>
          <w:rFonts w:ascii="Arial" w:eastAsia="Arial" w:hAnsi="Arial" w:cs="Arial"/>
          <w:sz w:val="24"/>
        </w:rPr>
        <w:t>полугодие</w:t>
      </w:r>
      <w:r w:rsidR="00673129" w:rsidRPr="00673129">
        <w:rPr>
          <w:rFonts w:ascii="Arial" w:eastAsia="Arial" w:hAnsi="Arial" w:cs="Arial"/>
          <w:sz w:val="24"/>
        </w:rPr>
        <w:t xml:space="preserve"> 2018 года исполнен с </w:t>
      </w:r>
      <w:r w:rsidR="00864168">
        <w:rPr>
          <w:rFonts w:ascii="Arial" w:eastAsia="Arial" w:hAnsi="Arial" w:cs="Arial"/>
          <w:sz w:val="24"/>
        </w:rPr>
        <w:t>про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864168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864168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864168">
        <w:rPr>
          <w:rFonts w:ascii="Arial" w:eastAsia="Arial" w:hAnsi="Arial" w:cs="Arial"/>
          <w:sz w:val="24"/>
        </w:rPr>
        <w:t>37,9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CF4D81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в первом </w:t>
      </w:r>
      <w:r w:rsidR="00864168">
        <w:rPr>
          <w:rFonts w:ascii="Arial" w:eastAsia="Arial" w:hAnsi="Arial" w:cs="Arial"/>
          <w:sz w:val="24"/>
        </w:rPr>
        <w:t>полугодии</w:t>
      </w:r>
      <w:r w:rsidR="00673129" w:rsidRPr="00673129">
        <w:rPr>
          <w:rFonts w:ascii="Arial" w:eastAsia="Arial" w:hAnsi="Arial" w:cs="Arial"/>
          <w:sz w:val="24"/>
        </w:rPr>
        <w:t xml:space="preserve"> 2018 года не предоставлялись, заимствования не производились, бюджетные кредиты не выделялись.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</w:t>
      </w:r>
      <w:r w:rsidR="005C03FA"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от </w:t>
      </w:r>
      <w:r w:rsidR="00FA6C2C" w:rsidRPr="00091924">
        <w:rPr>
          <w:rFonts w:ascii="Arial" w:eastAsia="Arial" w:hAnsi="Arial" w:cs="Arial"/>
          <w:color w:val="000000" w:themeColor="text1"/>
          <w:sz w:val="24"/>
        </w:rPr>
        <w:t>2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FA6C2C">
        <w:rPr>
          <w:rFonts w:ascii="Arial" w:eastAsia="Arial" w:hAnsi="Arial" w:cs="Arial"/>
          <w:sz w:val="24"/>
        </w:rPr>
        <w:t xml:space="preserve"> </w:t>
      </w:r>
      <w:r w:rsidR="00091924">
        <w:rPr>
          <w:rFonts w:ascii="Arial" w:eastAsia="Arial" w:hAnsi="Arial" w:cs="Arial"/>
          <w:sz w:val="24"/>
        </w:rPr>
        <w:t>августа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B0756A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года №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74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поселения за </w:t>
      </w:r>
      <w:r w:rsidR="005C03F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1920FF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201</w:t>
      </w:r>
      <w:r w:rsidR="00B0756A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040"/>
        <w:gridCol w:w="1284"/>
        <w:gridCol w:w="1653"/>
      </w:tblGrid>
      <w:tr w:rsidR="00CF4D81" w:rsidTr="005C03FA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План бюджетной росписи</w:t>
            </w:r>
          </w:p>
          <w:p w:rsidR="00CF4D81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F4D81" w:rsidRDefault="00CF4D81">
            <w:pPr>
              <w:spacing w:after="200" w:line="276" w:lineRule="auto"/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19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1920FF">
              <w:rPr>
                <w:rFonts w:ascii="Arial" w:eastAsia="Arial" w:hAnsi="Arial" w:cs="Arial"/>
                <w:sz w:val="24"/>
              </w:rPr>
              <w:t>2098,7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B0756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-1532,1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73,0</w:t>
            </w:r>
          </w:p>
        </w:tc>
      </w:tr>
      <w:tr w:rsidR="00CF4D81" w:rsidTr="005C03FA">
        <w:trPr>
          <w:trHeight w:val="746"/>
        </w:trPr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19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1920FF">
              <w:rPr>
                <w:rFonts w:ascii="Arial" w:eastAsia="Arial" w:hAnsi="Arial" w:cs="Arial"/>
                <w:sz w:val="24"/>
              </w:rPr>
              <w:t>2098,7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19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1920FF">
              <w:rPr>
                <w:rFonts w:ascii="Arial" w:eastAsia="Arial" w:hAnsi="Arial" w:cs="Arial"/>
                <w:sz w:val="24"/>
              </w:rPr>
              <w:t>1532,1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73,0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19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1920FF">
              <w:rPr>
                <w:rFonts w:ascii="Arial" w:eastAsia="Arial" w:hAnsi="Arial" w:cs="Arial"/>
                <w:sz w:val="24"/>
              </w:rPr>
              <w:t>2098,7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19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1920FF">
              <w:rPr>
                <w:rFonts w:ascii="Arial" w:eastAsia="Arial" w:hAnsi="Arial" w:cs="Arial"/>
                <w:sz w:val="24"/>
              </w:rPr>
              <w:t>1532,1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73,0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B0756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2098,7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1494,2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71,2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001 05 02 01 00 0000 </w:t>
            </w:r>
            <w:r>
              <w:rPr>
                <w:rFonts w:ascii="Arial" w:eastAsia="Arial" w:hAnsi="Arial" w:cs="Arial"/>
                <w:sz w:val="24"/>
              </w:rPr>
              <w:lastRenderedPageBreak/>
              <w:t>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Уменьшение прочих остатков средств </w:t>
            </w:r>
            <w:r>
              <w:rPr>
                <w:rFonts w:ascii="Arial" w:eastAsia="Arial" w:hAnsi="Arial" w:cs="Arial"/>
                <w:sz w:val="24"/>
              </w:rPr>
              <w:lastRenderedPageBreak/>
              <w:t>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B0756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2098,7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1494,2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71,2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B0756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2098,7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1494,2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71,2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B0756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2098,7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1494,2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71,2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       </w:t>
      </w: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D7A7D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</w:p>
    <w:p w:rsidR="00186C16" w:rsidRDefault="00FD7A7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 </w:t>
      </w:r>
      <w:r w:rsidR="00535AC2"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</w:t>
      </w:r>
      <w:r w:rsidR="00FA6C2C" w:rsidRPr="00091924">
        <w:rPr>
          <w:rFonts w:ascii="Arial" w:eastAsia="Arial" w:hAnsi="Arial" w:cs="Arial"/>
          <w:color w:val="000000" w:themeColor="text1"/>
          <w:sz w:val="24"/>
        </w:rPr>
        <w:t>2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FA6C2C">
        <w:rPr>
          <w:rFonts w:ascii="Arial" w:eastAsia="Arial" w:hAnsi="Arial" w:cs="Arial"/>
          <w:sz w:val="24"/>
        </w:rPr>
        <w:t xml:space="preserve"> </w:t>
      </w:r>
      <w:r w:rsidR="00091924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201</w:t>
      </w:r>
      <w:r w:rsidR="002C0A8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г. №</w:t>
      </w:r>
      <w:r w:rsidR="00091924">
        <w:rPr>
          <w:rFonts w:ascii="Arial" w:eastAsia="Arial" w:hAnsi="Arial" w:cs="Arial"/>
          <w:color w:val="000000" w:themeColor="text1"/>
          <w:sz w:val="24"/>
        </w:rPr>
        <w:t>74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CF4D81" w:rsidTr="00992C6D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20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полугодие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201</w:t>
            </w:r>
            <w:r w:rsidR="002C0A8C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992C6D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920FF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1 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2018 года</w:t>
            </w:r>
          </w:p>
        </w:tc>
      </w:tr>
      <w:tr w:rsidR="00186C16" w:rsidTr="00992C6D">
        <w:trPr>
          <w:trHeight w:val="1671"/>
        </w:trPr>
        <w:tc>
          <w:tcPr>
            <w:tcW w:w="1656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24DD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77,5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24DD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</w:t>
            </w:r>
            <w:r w:rsidR="001362E5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24DD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38,0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24DD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</w:t>
            </w:r>
            <w:r w:rsidR="001362E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2C0A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104,4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1920FF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9B24DD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19,8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2C0A8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104,4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9B24DD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19,8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2C0A8C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104,4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9B24DD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19,8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388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21,9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</w:t>
            </w:r>
            <w:r w:rsidR="009B24DD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</w:t>
            </w:r>
            <w:r w:rsidR="009B24DD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9B24DD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9B24DD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83,</w:t>
            </w:r>
            <w:r w:rsidR="002C0A8C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23,3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24DD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60,3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92C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92C6D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26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92C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92C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92C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92C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D66D66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D66D66" w:rsidP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связи с эксплуатацией имущества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000 1 13 02065 10 0000 130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992C6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992C6D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C6D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B7BC5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992C6D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C6D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</w:tr>
      <w:tr w:rsidR="00992C6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000 1 14 06000 00 0000 430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992C6D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C6D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B7BC5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992C6D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C6D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</w:tr>
      <w:tr w:rsidR="00992C6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000 1 14 06010 00 0000 430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C6D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C6D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</w:tr>
      <w:tr w:rsidR="00992C6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000 1 14 06013 10 0000 430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3911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C6D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992C6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C6D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D66D66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D2A7B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  <w:r w:rsidR="00D66D66">
              <w:rPr>
                <w:rFonts w:ascii="Arial" w:eastAsia="Arial" w:hAnsi="Arial" w:cs="Arial"/>
                <w:b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</w:rPr>
              <w:t>,</w:t>
            </w:r>
            <w:r w:rsidR="00D66D66">
              <w:rPr>
                <w:rFonts w:ascii="Arial" w:eastAsia="Arial" w:hAnsi="Arial" w:cs="Arial"/>
                <w:b/>
                <w:sz w:val="24"/>
              </w:rPr>
              <w:t>8</w:t>
            </w:r>
          </w:p>
        </w:tc>
      </w:tr>
      <w:tr w:rsidR="00D66D66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D66D66" w:rsidP="00D66D6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D66D66" w:rsidP="00D66D6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28,3</w:t>
            </w:r>
          </w:p>
        </w:tc>
      </w:tr>
      <w:tr w:rsidR="00D66D66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28,3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D66D6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1302</w:t>
            </w:r>
            <w:r w:rsidR="00D66D66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70,2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1302</w:t>
            </w:r>
            <w:r w:rsidR="00D66D66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70,2</w:t>
            </w:r>
          </w:p>
        </w:tc>
      </w:tr>
      <w:tr w:rsidR="00CF4D81" w:rsidTr="00992C6D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867,2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73,8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537,7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B6098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313,6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</w:t>
            </w:r>
            <w:r w:rsidR="00D66D66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392D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537,7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313,6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D66D66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000 2 02 15002 00 0000 151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392D2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ам на 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9B6098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329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9B6098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326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9B6098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99,1</w:t>
            </w:r>
          </w:p>
        </w:tc>
      </w:tr>
      <w:tr w:rsidR="00D66D66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000 2 02 15002 10 0000 151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392D2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сельских поселений на 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9B6098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9B6098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326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9B6098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99,1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2D2E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49,9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2D2E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2D2E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B60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392D2E">
              <w:rPr>
                <w:rFonts w:ascii="Arial" w:eastAsia="Arial" w:hAnsi="Arial" w:cs="Arial"/>
                <w:b/>
                <w:color w:val="000000"/>
                <w:sz w:val="24"/>
              </w:rPr>
              <w:t>50,9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392D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73,4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014 00 0000 151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50,9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392D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73,4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3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50,9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73,4</w:t>
            </w:r>
          </w:p>
        </w:tc>
      </w:tr>
      <w:tr w:rsidR="00392D2E" w:rsidRPr="007E5A1F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7E5A1F" w:rsidP="007E5A1F">
            <w:pPr>
              <w:spacing w:after="0" w:line="240" w:lineRule="auto"/>
              <w:rPr>
                <w:b/>
              </w:rPr>
            </w:pPr>
            <w:r w:rsidRPr="007E5A1F">
              <w:rPr>
                <w:rFonts w:ascii="Arial" w:eastAsia="Arial" w:hAnsi="Arial" w:cs="Arial"/>
                <w:b/>
                <w:sz w:val="24"/>
              </w:rPr>
              <w:lastRenderedPageBreak/>
              <w:t>001 2 19 00000 00 0000 151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7E5A1F" w:rsidP="007E5A1F">
            <w:pPr>
              <w:spacing w:after="0" w:line="240" w:lineRule="auto"/>
              <w:rPr>
                <w:b/>
              </w:rPr>
            </w:pPr>
            <w:r w:rsidRPr="007E5A1F">
              <w:rPr>
                <w:rFonts w:ascii="Arial" w:eastAsia="Arial" w:hAnsi="Arial" w:cs="Arial"/>
                <w:b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392D2E" w:rsidP="007E5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7E5A1F" w:rsidP="007E5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-25,1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392D2E" w:rsidP="007E5A1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92D2E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7E5A1F" w:rsidP="007E5A1F">
            <w:pPr>
              <w:spacing w:after="0" w:line="240" w:lineRule="auto"/>
            </w:pPr>
            <w:r w:rsidRPr="007E5A1F">
              <w:rPr>
                <w:rFonts w:ascii="Arial" w:eastAsia="Arial" w:hAnsi="Arial" w:cs="Arial"/>
                <w:sz w:val="24"/>
              </w:rPr>
              <w:t>001 2 19 60010 10 0000 151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7E5A1F" w:rsidP="007E5A1F">
            <w:pPr>
              <w:spacing w:after="0" w:line="240" w:lineRule="auto"/>
            </w:pPr>
            <w:r w:rsidRPr="007E5A1F">
              <w:rPr>
                <w:rFonts w:ascii="Arial" w:eastAsia="Arial" w:hAnsi="Arial" w:cs="Arial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392D2E" w:rsidP="007E5A1F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7E5A1F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-25,1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392D2E" w:rsidP="007E5A1F">
            <w:pPr>
              <w:spacing w:after="0" w:line="240" w:lineRule="auto"/>
              <w:jc w:val="center"/>
            </w:pP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2098,7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73,0</w:t>
            </w:r>
          </w:p>
        </w:tc>
      </w:tr>
      <w:tr w:rsidR="00CF4D81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от </w:t>
      </w:r>
      <w:r w:rsidR="00FA6C2C" w:rsidRPr="00091924">
        <w:rPr>
          <w:rFonts w:ascii="Arial" w:eastAsia="Arial" w:hAnsi="Arial" w:cs="Arial"/>
          <w:color w:val="000000" w:themeColor="text1"/>
          <w:sz w:val="24"/>
        </w:rPr>
        <w:t>2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FA6C2C">
        <w:rPr>
          <w:rFonts w:ascii="Arial" w:eastAsia="Arial" w:hAnsi="Arial" w:cs="Arial"/>
          <w:sz w:val="24"/>
        </w:rPr>
        <w:t xml:space="preserve"> </w:t>
      </w:r>
      <w:r w:rsidR="00091924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201</w:t>
      </w:r>
      <w:r w:rsidR="007E5A1F">
        <w:rPr>
          <w:rFonts w:ascii="Arial" w:eastAsia="Arial" w:hAnsi="Arial" w:cs="Arial"/>
          <w:color w:val="000000"/>
          <w:sz w:val="24"/>
        </w:rPr>
        <w:t>8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74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C164DF" w:rsidRPr="001F59D0">
        <w:rPr>
          <w:rFonts w:ascii="Arial" w:eastAsia="Arial" w:hAnsi="Arial" w:cs="Arial"/>
          <w:b/>
          <w:sz w:val="24"/>
        </w:rPr>
        <w:t xml:space="preserve">1 </w:t>
      </w:r>
      <w:r w:rsidR="00737BB2">
        <w:rPr>
          <w:rFonts w:ascii="Arial" w:eastAsia="Arial" w:hAnsi="Arial" w:cs="Arial"/>
          <w:b/>
          <w:sz w:val="24"/>
        </w:rPr>
        <w:t>полугодие</w:t>
      </w:r>
      <w:r w:rsidRPr="001F59D0">
        <w:rPr>
          <w:rFonts w:ascii="Arial" w:eastAsia="Arial" w:hAnsi="Arial" w:cs="Arial"/>
          <w:b/>
          <w:sz w:val="24"/>
        </w:rPr>
        <w:t xml:space="preserve"> 201</w:t>
      </w:r>
      <w:r w:rsidR="007E5A1F" w:rsidRPr="001F59D0">
        <w:rPr>
          <w:rFonts w:ascii="Arial" w:eastAsia="Arial" w:hAnsi="Arial" w:cs="Arial"/>
          <w:b/>
          <w:sz w:val="24"/>
        </w:rPr>
        <w:t>8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FD7A7D">
        <w:trPr>
          <w:trHeight w:val="311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2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0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737BB2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1 </w:t>
            </w:r>
            <w:r w:rsidR="00737BB2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2018 года</w:t>
            </w:r>
          </w:p>
        </w:tc>
      </w:tr>
      <w:tr w:rsidR="00FD7A7D" w:rsidTr="00FD7A7D"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8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C164D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FD7A7D">
        <w:tc>
          <w:tcPr>
            <w:tcW w:w="440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873,0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708,3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</w:t>
            </w:r>
            <w:r w:rsidR="007E5A1F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232,4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85,9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59</w:t>
            </w:r>
            <w:r w:rsidR="007E5A1F">
              <w:rPr>
                <w:rFonts w:ascii="Arial" w:eastAsia="Arial" w:hAnsi="Arial" w:cs="Arial"/>
                <w:color w:val="000000"/>
                <w:sz w:val="24"/>
              </w:rPr>
              <w:t>6,9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472,9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79,2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E5A1F" w:rsidRDefault="007E5A1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85,7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49,1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83,9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737BB2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1,</w:t>
            </w:r>
            <w:r w:rsidR="00737BB2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60,5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37BB2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1,</w:t>
            </w:r>
            <w:r w:rsidR="00737BB2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71,9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</w:t>
            </w:r>
            <w:r w:rsidR="00737BB2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</w:t>
            </w:r>
            <w:r w:rsidR="00737BB2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B25110">
            <w:pPr>
              <w:spacing w:after="0" w:line="240" w:lineRule="auto"/>
              <w:jc w:val="righ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FD7A7D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</w:t>
            </w:r>
            <w:r w:rsidR="00737BB2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</w:t>
            </w:r>
            <w:r w:rsidR="00737BB2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830,7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591,5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830,7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</w:t>
            </w:r>
          </w:p>
        </w:tc>
      </w:tr>
      <w:tr w:rsidR="00CF4D81" w:rsidTr="00FD7A7D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2098,7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1494,2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25110" w:rsidRDefault="003515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</w:t>
      </w:r>
    </w:p>
    <w:p w:rsidR="00CF4D81" w:rsidRDefault="00895ED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B25110">
        <w:rPr>
          <w:rFonts w:ascii="Arial" w:eastAsia="Arial" w:hAnsi="Arial" w:cs="Arial"/>
          <w:sz w:val="24"/>
        </w:rPr>
        <w:t xml:space="preserve">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09192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от </w:t>
      </w:r>
      <w:r w:rsidR="00174121" w:rsidRPr="00091924">
        <w:rPr>
          <w:rFonts w:ascii="Arial" w:eastAsia="Arial" w:hAnsi="Arial" w:cs="Arial"/>
          <w:color w:val="000000" w:themeColor="text1"/>
          <w:sz w:val="24"/>
        </w:rPr>
        <w:t>2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174121">
        <w:rPr>
          <w:rFonts w:ascii="Arial" w:eastAsia="Arial" w:hAnsi="Arial" w:cs="Arial"/>
          <w:sz w:val="24"/>
        </w:rPr>
        <w:t xml:space="preserve"> </w:t>
      </w:r>
      <w:r w:rsidR="00091924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201</w:t>
      </w:r>
      <w:r w:rsidR="00895ED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г. №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74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190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5"/>
        <w:gridCol w:w="8"/>
        <w:gridCol w:w="565"/>
        <w:gridCol w:w="8"/>
        <w:gridCol w:w="417"/>
        <w:gridCol w:w="8"/>
        <w:gridCol w:w="1122"/>
        <w:gridCol w:w="8"/>
        <w:gridCol w:w="563"/>
        <w:gridCol w:w="8"/>
        <w:gridCol w:w="984"/>
        <w:gridCol w:w="8"/>
        <w:gridCol w:w="993"/>
        <w:gridCol w:w="14"/>
        <w:gridCol w:w="8"/>
        <w:gridCol w:w="970"/>
        <w:gridCol w:w="25"/>
        <w:gridCol w:w="8"/>
      </w:tblGrid>
      <w:tr w:rsidR="00CF4D81" w:rsidTr="006F029D">
        <w:trPr>
          <w:gridBefore w:val="1"/>
          <w:gridAfter w:val="6"/>
          <w:wBefore w:w="8" w:type="dxa"/>
          <w:wAfter w:w="2018" w:type="dxa"/>
        </w:trPr>
        <w:tc>
          <w:tcPr>
            <w:tcW w:w="7164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ассигнований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 разделам и подразделам, целевым статьям и видам расходов классификации 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бюджета </w:t>
            </w:r>
            <w:r w:rsidR="00C164DF">
              <w:rPr>
                <w:rFonts w:ascii="Arial" w:eastAsia="Arial" w:hAnsi="Arial" w:cs="Arial"/>
                <w:b/>
                <w:color w:val="000000"/>
                <w:sz w:val="24"/>
              </w:rPr>
              <w:t>с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ельского поселения за </w:t>
            </w:r>
            <w:r w:rsidR="00174121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EB59F9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895EDF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644DE6" w:rsidRDefault="00644DE6" w:rsidP="00644DE6">
            <w:pPr>
              <w:spacing w:after="0" w:line="240" w:lineRule="auto"/>
              <w:jc w:val="center"/>
            </w:pPr>
          </w:p>
        </w:tc>
      </w:tr>
      <w:tr w:rsidR="00644DE6" w:rsidTr="006F029D">
        <w:trPr>
          <w:gridBefore w:val="1"/>
          <w:wBefore w:w="8" w:type="dxa"/>
        </w:trPr>
        <w:tc>
          <w:tcPr>
            <w:tcW w:w="3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EB5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1 </w:t>
            </w:r>
            <w:r w:rsidR="00EB59F9">
              <w:rPr>
                <w:rFonts w:ascii="Arial" w:hAnsi="Arial" w:cs="Arial"/>
                <w:b/>
                <w:sz w:val="24"/>
                <w:szCs w:val="24"/>
              </w:rPr>
              <w:t>полугодие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2018 года</w:t>
            </w:r>
          </w:p>
        </w:tc>
      </w:tr>
      <w:tr w:rsidR="00644DE6" w:rsidTr="006F029D">
        <w:trPr>
          <w:gridBefore w:val="1"/>
          <w:wBefore w:w="8" w:type="dxa"/>
        </w:trPr>
        <w:tc>
          <w:tcPr>
            <w:tcW w:w="34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708,3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</w:t>
            </w:r>
            <w:r w:rsidR="00895EDF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270,6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85</w:t>
            </w:r>
            <w:r w:rsidR="00EB59F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,9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CF4D81" w:rsidRPr="00D70F40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95EDF" w:rsidP="00EB59F9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85</w:t>
            </w:r>
            <w:r w:rsidR="00EB59F9">
              <w:rPr>
                <w:rFonts w:ascii="Arial" w:eastAsia="Arial" w:hAnsi="Arial" w:cs="Arial"/>
                <w:i/>
                <w:color w:val="000000"/>
                <w:sz w:val="24"/>
              </w:rPr>
              <w:t>,9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185,3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</w:t>
            </w:r>
            <w:r w:rsidR="00895EDF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</w:t>
            </w:r>
            <w:r w:rsidR="00895ED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472,9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79,2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</w:t>
            </w:r>
            <w:r w:rsidR="00895EDF">
              <w:rPr>
                <w:rFonts w:ascii="Arial" w:eastAsia="Arial" w:hAnsi="Arial" w:cs="Arial"/>
                <w:color w:val="000000"/>
                <w:sz w:val="24"/>
              </w:rPr>
              <w:t>6,9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472,9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79,2</w:t>
            </w:r>
          </w:p>
        </w:tc>
      </w:tr>
      <w:tr w:rsidR="00CF4D81" w:rsidRPr="00D70F40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</w:t>
            </w:r>
            <w:r w:rsidR="00895ED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6,9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472,9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B59F9" w:rsidP="00C9066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79,2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358,6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97,7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358,6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97,7</w:t>
            </w:r>
          </w:p>
        </w:tc>
      </w:tr>
      <w:tr w:rsidR="00EF2DCC" w:rsidTr="006F029D">
        <w:trPr>
          <w:gridAfter w:val="1"/>
          <w:wAfter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B59F9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4,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B59F9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3,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B59F9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95EDF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843D6F">
              <w:rPr>
                <w:rFonts w:ascii="Arial" w:eastAsia="Arial" w:hAnsi="Arial" w:cs="Arial"/>
                <w:color w:val="000000"/>
                <w:sz w:val="24"/>
              </w:rPr>
              <w:t>5,7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57,7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57,7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RPr="00D70F40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85,7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</w:t>
            </w:r>
          </w:p>
        </w:tc>
      </w:tr>
      <w:tr w:rsidR="00CF4D81" w:rsidRPr="00D70F40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627E3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967D9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67D9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RPr="00D70F40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EF2DCC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627E3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</w:t>
            </w:r>
          </w:p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49,1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83,9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49,1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</w:tr>
      <w:tr w:rsidR="00CF4D81" w:rsidRPr="00D70F40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F2DC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83,9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49,1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54,1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54,1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</w:tr>
      <w:tr w:rsidR="00EF2DCC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967D91" w:rsidP="00A96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D91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967D91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D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D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D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967D91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1,</w:t>
            </w:r>
            <w:r w:rsidR="00967D91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967D91">
              <w:rPr>
                <w:rFonts w:ascii="Arial" w:eastAsia="Arial" w:hAnsi="Arial" w:cs="Arial"/>
                <w:b/>
                <w:color w:val="000000"/>
                <w:sz w:val="24"/>
              </w:rPr>
              <w:t>0,5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967D91">
              <w:rPr>
                <w:rFonts w:ascii="Arial" w:eastAsia="Arial" w:hAnsi="Arial" w:cs="Arial"/>
                <w:b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</w:rPr>
              <w:t>1,</w:t>
            </w:r>
            <w:r w:rsidR="00967D91">
              <w:rPr>
                <w:rFonts w:ascii="Arial" w:eastAsia="Arial" w:hAnsi="Arial" w:cs="Arial"/>
                <w:b/>
                <w:sz w:val="24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71,9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67D91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1,</w:t>
            </w:r>
            <w:r w:rsidR="00967D9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71,9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D91">
              <w:rPr>
                <w:rFonts w:ascii="Arial" w:hAnsi="Arial" w:cs="Arial"/>
                <w:sz w:val="24"/>
                <w:szCs w:val="24"/>
              </w:rPr>
              <w:t>151,7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71,9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67D91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1,</w:t>
            </w:r>
            <w:r w:rsidR="00967D9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71,9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67D91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1,</w:t>
            </w:r>
            <w:r w:rsidR="00967D9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71,9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67D91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1,</w:t>
            </w:r>
            <w:r w:rsidR="00967D9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71,9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</w:t>
            </w:r>
            <w:r w:rsidR="00535AC2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</w:t>
            </w:r>
            <w:r w:rsidR="00967D91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</w:t>
            </w:r>
            <w:r w:rsidR="00967D91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3C4095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3C4095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RPr="00D70F40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 w:rsidP="00967D91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sz w:val="24"/>
              </w:rPr>
              <w:t>1,</w:t>
            </w:r>
            <w:r w:rsidR="00967D91">
              <w:rPr>
                <w:rFonts w:ascii="Arial" w:eastAsia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 w:rsidP="00967D91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sz w:val="24"/>
              </w:rPr>
              <w:t>5,</w:t>
            </w:r>
            <w:r w:rsidR="00967D91">
              <w:rPr>
                <w:rFonts w:ascii="Arial" w:eastAsia="Arial" w:hAnsi="Arial" w:cs="Arial"/>
                <w:b/>
                <w:i/>
                <w:sz w:val="24"/>
              </w:rPr>
              <w:t>3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</w:t>
            </w:r>
            <w:r w:rsidR="00967D91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</w:t>
            </w:r>
            <w:r w:rsidR="00967D91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C164DF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ритуальных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64DF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5,2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C409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C4095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1</w:t>
            </w:r>
            <w:r w:rsidR="00535AC2" w:rsidRPr="00D70F40">
              <w:rPr>
                <w:rFonts w:ascii="Arial" w:eastAsia="Arial" w:hAnsi="Arial" w:cs="Arial"/>
                <w:i/>
                <w:sz w:val="24"/>
              </w:rPr>
              <w:t>,</w:t>
            </w:r>
            <w:r w:rsidR="00D70F40" w:rsidRPr="00D70F40">
              <w:rPr>
                <w:rFonts w:ascii="Arial" w:eastAsia="Arial" w:hAnsi="Arial" w:cs="Arial"/>
                <w:i/>
                <w:sz w:val="24"/>
              </w:rPr>
              <w:t>9</w:t>
            </w:r>
          </w:p>
        </w:tc>
      </w:tr>
      <w:tr w:rsidR="00C164DF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164DF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164DF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3C4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67D91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967D91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967D91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D70F40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26,0</w:t>
            </w:r>
          </w:p>
        </w:tc>
      </w:tr>
      <w:tr w:rsidR="00D70F40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D70F40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D70F40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830,7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591,5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830,7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591,5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721,2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531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1C8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33,4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1C8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33,4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1C8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33,4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1C8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33,4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7FD1" w:rsidRDefault="00177FD1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606,2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73</w:t>
            </w:r>
            <w:r w:rsidR="00177FD1">
              <w:rPr>
                <w:rFonts w:ascii="Arial" w:eastAsia="Arial" w:hAnsi="Arial" w:cs="Arial"/>
                <w:i/>
                <w:color w:val="000000"/>
                <w:sz w:val="24"/>
              </w:rPr>
              <w:t>,2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7FD1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7FD1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</w:tr>
      <w:tr w:rsidR="006F029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Субсидии из областного бюджета повышение заработной платы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ПК2</w:t>
            </w:r>
            <w:r w:rsidR="00177FD1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 xml:space="preserve"> 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S2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6F029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 0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2S2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F029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 0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2S2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F029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ПК2 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2S2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2098,7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3C40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1494,2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Pr="00091924">
        <w:rPr>
          <w:rFonts w:ascii="Arial" w:eastAsia="Arial" w:hAnsi="Arial" w:cs="Arial"/>
          <w:color w:val="000000" w:themeColor="text1"/>
          <w:sz w:val="24"/>
        </w:rPr>
        <w:t>2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091924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201</w:t>
      </w:r>
      <w:r w:rsidR="00A96BE5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г. №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74</w:t>
      </w:r>
      <w:r>
        <w:rPr>
          <w:rFonts w:ascii="Arial" w:eastAsia="Arial" w:hAnsi="Arial" w:cs="Arial"/>
          <w:sz w:val="24"/>
        </w:rPr>
        <w:t xml:space="preserve">   </w:t>
      </w:r>
    </w:p>
    <w:tbl>
      <w:tblPr>
        <w:tblW w:w="9250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Tr="001D300E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17412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C35471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A96BE5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236D16" w:rsidTr="001D300E">
        <w:tc>
          <w:tcPr>
            <w:tcW w:w="2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C35471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1 </w:t>
            </w:r>
            <w:r w:rsidR="00C35471">
              <w:rPr>
                <w:rFonts w:ascii="Arial" w:hAnsi="Arial" w:cs="Arial"/>
                <w:b/>
                <w:sz w:val="24"/>
                <w:szCs w:val="24"/>
              </w:rPr>
              <w:t>полугодие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2018 года</w:t>
            </w:r>
          </w:p>
        </w:tc>
      </w:tr>
      <w:tr w:rsidR="00236D16" w:rsidTr="001D300E">
        <w:tc>
          <w:tcPr>
            <w:tcW w:w="2842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2098,7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1494,2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617B9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C35471">
              <w:rPr>
                <w:rFonts w:ascii="Arial" w:eastAsia="Arial" w:hAnsi="Arial" w:cs="Arial"/>
                <w:b/>
                <w:color w:val="000000"/>
                <w:sz w:val="24"/>
              </w:rPr>
              <w:t>383,0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</w:t>
            </w:r>
            <w:r w:rsidR="00A96BE5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270,6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C3547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BE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85</w:t>
            </w:r>
            <w:r w:rsidR="00C3547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BE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C35471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BE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C35471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BE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C35471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BE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C35471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</w:t>
            </w:r>
            <w:r w:rsidR="00A96BE5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</w:t>
            </w:r>
            <w:r w:rsidR="00A96BE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472,9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79,2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</w:t>
            </w:r>
            <w:r w:rsidR="00A96BE5">
              <w:rPr>
                <w:rFonts w:ascii="Arial" w:eastAsia="Arial" w:hAnsi="Arial" w:cs="Arial"/>
                <w:color w:val="000000"/>
                <w:sz w:val="24"/>
              </w:rPr>
              <w:t>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79,2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</w:t>
            </w:r>
            <w:r w:rsidR="00A96BE5">
              <w:rPr>
                <w:rFonts w:ascii="Arial" w:eastAsia="Arial" w:hAnsi="Arial" w:cs="Arial"/>
                <w:color w:val="000000"/>
                <w:sz w:val="24"/>
              </w:rPr>
              <w:t>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79,2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97,7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97,7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A96BE5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 персоналу государственных (муниципальных) органов, за исключением фонда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57,7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57,7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</w:tr>
      <w:tr w:rsidR="005F7014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Выполнение других обязательств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Муниципальная программа «Противодействие коррупции в органах местного самоуправления Никольского </w:t>
            </w:r>
            <w:r w:rsidR="00075AA8">
              <w:rPr>
                <w:rFonts w:ascii="Arial" w:eastAsia="Arial" w:hAnsi="Arial" w:cs="Arial"/>
                <w:color w:val="000000"/>
                <w:sz w:val="24"/>
              </w:rPr>
              <w:t>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89 200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49,1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49,1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54,1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54,1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</w:tr>
      <w:tr w:rsidR="006C414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7C2E21" w:rsidP="004028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21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7C2E2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7C2E21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1,</w:t>
            </w:r>
            <w:r w:rsidR="007C2E21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6C4142"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 w:rsidR="007C2E21">
              <w:rPr>
                <w:rFonts w:ascii="Arial" w:eastAsia="Arial" w:hAnsi="Arial" w:cs="Arial"/>
                <w:b/>
                <w:i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1,</w:t>
            </w:r>
            <w:r w:rsidR="007C2E21">
              <w:rPr>
                <w:rFonts w:ascii="Arial" w:eastAsia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71,9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C2E21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1,</w:t>
            </w:r>
            <w:r w:rsidR="007C2E2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6C4142" w:rsidRDefault="006C4142" w:rsidP="006C41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C2E21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1,</w:t>
            </w:r>
            <w:r w:rsidR="007C2E2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C2E21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1,</w:t>
            </w:r>
            <w:r w:rsidR="007C2E2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C2E21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1,</w:t>
            </w:r>
            <w:r w:rsidR="007C2E2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C2E21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1,</w:t>
            </w:r>
            <w:r w:rsidR="007C2E2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6525F" w:rsidRDefault="00E6525F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</w:t>
            </w:r>
            <w:r w:rsidR="007C2E21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</w:t>
            </w:r>
            <w:r w:rsidR="007C2E21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Коммунальное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7000B7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</w:t>
            </w:r>
            <w:r w:rsidR="007C2E21">
              <w:rPr>
                <w:rFonts w:ascii="Arial" w:eastAsia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5,</w:t>
            </w:r>
            <w:r w:rsidR="007C2E21">
              <w:rPr>
                <w:rFonts w:ascii="Arial" w:eastAsia="Arial" w:hAnsi="Arial" w:cs="Arial"/>
                <w:b/>
                <w:i/>
                <w:sz w:val="24"/>
              </w:rPr>
              <w:t>3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</w:t>
            </w:r>
            <w:r w:rsidR="007C2E21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</w:t>
            </w:r>
            <w:r w:rsidR="007C2E21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5DB9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sz w:val="24"/>
              </w:rPr>
              <w:t>,</w:t>
            </w:r>
            <w:r w:rsidR="004028E1">
              <w:rPr>
                <w:rFonts w:ascii="Arial" w:eastAsia="Arial" w:hAnsi="Arial" w:cs="Arial"/>
                <w:i/>
                <w:sz w:val="24"/>
              </w:rPr>
              <w:t>9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C2E2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7C2E2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7C2E2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городских округов и 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084575">
              <w:rPr>
                <w:rFonts w:ascii="Arial" w:eastAsia="Arial" w:hAnsi="Arial" w:cs="Arial"/>
                <w:i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84575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84575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84575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7C2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E21">
              <w:rPr>
                <w:rFonts w:ascii="Arial" w:hAnsi="Arial" w:cs="Arial"/>
                <w:b/>
                <w:sz w:val="24"/>
                <w:szCs w:val="24"/>
              </w:rPr>
              <w:t>38,4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7C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33,4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7C2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E21">
              <w:rPr>
                <w:rFonts w:ascii="Arial" w:hAnsi="Arial" w:cs="Arial"/>
                <w:b/>
                <w:sz w:val="24"/>
                <w:szCs w:val="24"/>
              </w:rPr>
              <w:t>38,4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7C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33,4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7C2E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2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7C2E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2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7C2E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0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7C2E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0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7C2E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0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77,3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77,3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77,3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606,</w:t>
            </w:r>
            <w:r w:rsidR="006F029D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443,6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 w:rsidP="00ED5E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77,3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606,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 w:rsidP="00ED5E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77,3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606,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77,3</w:t>
            </w:r>
          </w:p>
        </w:tc>
      </w:tr>
      <w:tr w:rsidR="00535AC2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606,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D300E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77,3</w:t>
            </w:r>
          </w:p>
        </w:tc>
      </w:tr>
      <w:tr w:rsidR="001D300E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Субсидии из областного бюджета на повышение заработной платы работникам</w:t>
            </w:r>
            <w:r w:rsidR="006F029D" w:rsidRPr="006F029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ПК2 02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S</w:t>
            </w:r>
            <w:r w:rsidR="009726AE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i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i/>
                <w:sz w:val="24"/>
              </w:rPr>
              <w:t>,</w:t>
            </w:r>
            <w:r>
              <w:rPr>
                <w:rFonts w:ascii="Arial" w:eastAsia="Arial" w:hAnsi="Arial" w:cs="Arial"/>
                <w:i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1D300E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9726A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S2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F029D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D300E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9726A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S2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F029D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D300E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9726A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S2 </w:t>
            </w:r>
            <w:r w:rsidR="006F029D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6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Pr="00857828">
        <w:rPr>
          <w:rFonts w:ascii="Arial" w:eastAsia="Arial" w:hAnsi="Arial" w:cs="Arial"/>
          <w:color w:val="000000" w:themeColor="text1"/>
          <w:sz w:val="24"/>
        </w:rPr>
        <w:t>2</w:t>
      </w:r>
      <w:r w:rsidR="00857828" w:rsidRPr="00857828">
        <w:rPr>
          <w:rFonts w:ascii="Arial" w:eastAsia="Arial" w:hAnsi="Arial" w:cs="Arial"/>
          <w:color w:val="000000" w:themeColor="text1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857828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2018г. №</w:t>
      </w:r>
      <w:bookmarkStart w:id="0" w:name="_GoBack"/>
      <w:r w:rsidR="00857828" w:rsidRPr="00857828">
        <w:rPr>
          <w:rFonts w:ascii="Arial" w:eastAsia="Arial" w:hAnsi="Arial" w:cs="Arial"/>
          <w:color w:val="000000" w:themeColor="text1"/>
          <w:sz w:val="24"/>
        </w:rPr>
        <w:t>74</w:t>
      </w:r>
      <w:r w:rsidRPr="00857828">
        <w:rPr>
          <w:rFonts w:ascii="Arial" w:eastAsia="Arial" w:hAnsi="Arial" w:cs="Arial"/>
          <w:color w:val="000000" w:themeColor="text1"/>
          <w:sz w:val="24"/>
        </w:rPr>
        <w:t xml:space="preserve">  </w:t>
      </w:r>
      <w:bookmarkEnd w:id="0"/>
      <w:r>
        <w:rPr>
          <w:rFonts w:ascii="Arial" w:eastAsia="Arial" w:hAnsi="Arial" w:cs="Arial"/>
          <w:sz w:val="24"/>
        </w:rPr>
        <w:t xml:space="preserve"> 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01.0</w:t>
      </w:r>
      <w:r w:rsidR="006F029D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.2018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План </w:t>
            </w:r>
            <w:r>
              <w:rPr>
                <w:rFonts w:ascii="Arial" w:eastAsia="Arial" w:hAnsi="Arial" w:cs="Arial"/>
                <w:sz w:val="24"/>
              </w:rPr>
              <w:lastRenderedPageBreak/>
              <w:t>бюджетной росписи на 2018 год</w:t>
            </w:r>
          </w:p>
        </w:tc>
        <w:tc>
          <w:tcPr>
            <w:tcW w:w="1869" w:type="dxa"/>
          </w:tcPr>
          <w:p w:rsidR="00D807A6" w:rsidRDefault="00D807A6" w:rsidP="006F029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Исполнено на </w:t>
            </w:r>
            <w:r>
              <w:rPr>
                <w:rFonts w:ascii="Arial" w:eastAsia="Arial" w:hAnsi="Arial" w:cs="Arial"/>
                <w:sz w:val="24"/>
              </w:rPr>
              <w:lastRenderedPageBreak/>
              <w:t>01.0</w:t>
            </w:r>
            <w:r w:rsidR="006F029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.2018г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в том числе: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за 1 </w:t>
            </w:r>
            <w:r w:rsidR="006F029D">
              <w:rPr>
                <w:rFonts w:ascii="Arial" w:eastAsia="Arial" w:hAnsi="Arial" w:cs="Arial"/>
                <w:sz w:val="24"/>
              </w:rPr>
              <w:t>полугодие</w:t>
            </w:r>
          </w:p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2018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32D8F"/>
    <w:rsid w:val="00075AA8"/>
    <w:rsid w:val="00084575"/>
    <w:rsid w:val="00091924"/>
    <w:rsid w:val="001362E5"/>
    <w:rsid w:val="00174121"/>
    <w:rsid w:val="00174C9C"/>
    <w:rsid w:val="00177FD1"/>
    <w:rsid w:val="00186C16"/>
    <w:rsid w:val="001920FF"/>
    <w:rsid w:val="001D300E"/>
    <w:rsid w:val="001E4CB8"/>
    <w:rsid w:val="001F59D0"/>
    <w:rsid w:val="00236D16"/>
    <w:rsid w:val="00252828"/>
    <w:rsid w:val="002C0A8C"/>
    <w:rsid w:val="002F24A7"/>
    <w:rsid w:val="003205BE"/>
    <w:rsid w:val="00351584"/>
    <w:rsid w:val="003911C8"/>
    <w:rsid w:val="00392D2E"/>
    <w:rsid w:val="003C4095"/>
    <w:rsid w:val="004028E1"/>
    <w:rsid w:val="00433428"/>
    <w:rsid w:val="00453193"/>
    <w:rsid w:val="004B6C66"/>
    <w:rsid w:val="00535AC2"/>
    <w:rsid w:val="005C03FA"/>
    <w:rsid w:val="005F7014"/>
    <w:rsid w:val="00644DE6"/>
    <w:rsid w:val="00673129"/>
    <w:rsid w:val="006C4142"/>
    <w:rsid w:val="006F029D"/>
    <w:rsid w:val="006F5723"/>
    <w:rsid w:val="006F5AF3"/>
    <w:rsid w:val="007000B7"/>
    <w:rsid w:val="00721F7C"/>
    <w:rsid w:val="00737BB2"/>
    <w:rsid w:val="007627E3"/>
    <w:rsid w:val="00790598"/>
    <w:rsid w:val="007A57D5"/>
    <w:rsid w:val="007C2E21"/>
    <w:rsid w:val="007E5A1F"/>
    <w:rsid w:val="00843D6F"/>
    <w:rsid w:val="00857828"/>
    <w:rsid w:val="00864168"/>
    <w:rsid w:val="00895EDF"/>
    <w:rsid w:val="008B54AA"/>
    <w:rsid w:val="009111CE"/>
    <w:rsid w:val="00966D4D"/>
    <w:rsid w:val="00967D91"/>
    <w:rsid w:val="009726AE"/>
    <w:rsid w:val="00992C6D"/>
    <w:rsid w:val="009B24DD"/>
    <w:rsid w:val="009B6098"/>
    <w:rsid w:val="009C56AC"/>
    <w:rsid w:val="00A96BE5"/>
    <w:rsid w:val="00AB7BC5"/>
    <w:rsid w:val="00AF206A"/>
    <w:rsid w:val="00B0756A"/>
    <w:rsid w:val="00B25110"/>
    <w:rsid w:val="00B732CE"/>
    <w:rsid w:val="00BD2A7B"/>
    <w:rsid w:val="00C164DF"/>
    <w:rsid w:val="00C35471"/>
    <w:rsid w:val="00C617B9"/>
    <w:rsid w:val="00C90665"/>
    <w:rsid w:val="00CF4D81"/>
    <w:rsid w:val="00D66D66"/>
    <w:rsid w:val="00D70F40"/>
    <w:rsid w:val="00D75DB9"/>
    <w:rsid w:val="00D807A6"/>
    <w:rsid w:val="00E05316"/>
    <w:rsid w:val="00E06A5F"/>
    <w:rsid w:val="00E6525F"/>
    <w:rsid w:val="00EB59F9"/>
    <w:rsid w:val="00ED5EB2"/>
    <w:rsid w:val="00EF2DCC"/>
    <w:rsid w:val="00FA6C2C"/>
    <w:rsid w:val="00FD7A7D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FDA1-93EF-4CAF-9265-22FF5496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34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7</cp:revision>
  <cp:lastPrinted>2017-04-21T15:01:00Z</cp:lastPrinted>
  <dcterms:created xsi:type="dcterms:W3CDTF">2018-09-10T13:03:00Z</dcterms:created>
  <dcterms:modified xsi:type="dcterms:W3CDTF">2018-09-12T13:13:00Z</dcterms:modified>
</cp:coreProperties>
</file>