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38" w:rsidRPr="0039145D" w:rsidRDefault="00F23B60" w:rsidP="0039145D">
      <w:pPr>
        <w:ind w:left="10065"/>
        <w:jc w:val="center"/>
        <w:rPr>
          <w:sz w:val="28"/>
          <w:szCs w:val="28"/>
        </w:rPr>
      </w:pPr>
      <w:r w:rsidRPr="0039145D">
        <w:rPr>
          <w:sz w:val="28"/>
          <w:szCs w:val="28"/>
        </w:rPr>
        <w:t xml:space="preserve">Приложение </w:t>
      </w:r>
      <w:r w:rsidR="003B4038" w:rsidRPr="0039145D">
        <w:rPr>
          <w:sz w:val="28"/>
          <w:szCs w:val="28"/>
        </w:rPr>
        <w:t xml:space="preserve"> 2</w:t>
      </w:r>
      <w:r w:rsidR="00E43EBC" w:rsidRPr="0039145D">
        <w:rPr>
          <w:sz w:val="28"/>
          <w:szCs w:val="28"/>
        </w:rPr>
        <w:t>2</w:t>
      </w:r>
    </w:p>
    <w:p w:rsidR="00F23B60" w:rsidRPr="0039145D" w:rsidRDefault="00F23B60" w:rsidP="0039145D">
      <w:pPr>
        <w:ind w:left="10065"/>
        <w:jc w:val="center"/>
        <w:rPr>
          <w:sz w:val="28"/>
          <w:szCs w:val="28"/>
        </w:rPr>
      </w:pPr>
      <w:r w:rsidRPr="0039145D">
        <w:rPr>
          <w:sz w:val="28"/>
          <w:szCs w:val="28"/>
        </w:rPr>
        <w:t xml:space="preserve">к </w:t>
      </w:r>
      <w:r w:rsidR="003B241F" w:rsidRPr="0039145D">
        <w:rPr>
          <w:sz w:val="28"/>
          <w:szCs w:val="28"/>
        </w:rPr>
        <w:t>решению</w:t>
      </w:r>
      <w:r w:rsidR="002C3292" w:rsidRPr="0039145D">
        <w:rPr>
          <w:sz w:val="28"/>
          <w:szCs w:val="28"/>
        </w:rPr>
        <w:t xml:space="preserve"> Троснянского районного С</w:t>
      </w:r>
      <w:r w:rsidR="002C3292" w:rsidRPr="0039145D">
        <w:rPr>
          <w:sz w:val="28"/>
          <w:szCs w:val="28"/>
        </w:rPr>
        <w:t>о</w:t>
      </w:r>
      <w:r w:rsidR="002C3292" w:rsidRPr="0039145D">
        <w:rPr>
          <w:sz w:val="28"/>
          <w:szCs w:val="28"/>
        </w:rPr>
        <w:t>вета народных деп</w:t>
      </w:r>
      <w:r w:rsidR="002C3292" w:rsidRPr="0039145D">
        <w:rPr>
          <w:sz w:val="28"/>
          <w:szCs w:val="28"/>
        </w:rPr>
        <w:t>у</w:t>
      </w:r>
      <w:r w:rsidR="002C3292" w:rsidRPr="0039145D">
        <w:rPr>
          <w:sz w:val="28"/>
          <w:szCs w:val="28"/>
        </w:rPr>
        <w:t>татов</w:t>
      </w:r>
    </w:p>
    <w:p w:rsidR="002C3292" w:rsidRPr="0039145D" w:rsidRDefault="002C3292" w:rsidP="0039145D">
      <w:pPr>
        <w:ind w:left="10065"/>
        <w:jc w:val="center"/>
        <w:rPr>
          <w:sz w:val="28"/>
          <w:szCs w:val="28"/>
        </w:rPr>
      </w:pPr>
      <w:r w:rsidRPr="0039145D">
        <w:rPr>
          <w:sz w:val="28"/>
          <w:szCs w:val="28"/>
        </w:rPr>
        <w:t>от</w:t>
      </w:r>
      <w:r w:rsidR="0039145D">
        <w:rPr>
          <w:sz w:val="28"/>
          <w:szCs w:val="28"/>
        </w:rPr>
        <w:t xml:space="preserve"> 18</w:t>
      </w:r>
      <w:r w:rsidR="005D48E6" w:rsidRPr="0039145D">
        <w:rPr>
          <w:sz w:val="28"/>
          <w:szCs w:val="28"/>
        </w:rPr>
        <w:t xml:space="preserve"> </w:t>
      </w:r>
      <w:r w:rsidR="002C4154" w:rsidRPr="0039145D">
        <w:rPr>
          <w:sz w:val="28"/>
          <w:szCs w:val="28"/>
        </w:rPr>
        <w:t>декабря</w:t>
      </w:r>
      <w:r w:rsidRPr="0039145D">
        <w:rPr>
          <w:sz w:val="28"/>
          <w:szCs w:val="28"/>
        </w:rPr>
        <w:t xml:space="preserve"> 201</w:t>
      </w:r>
      <w:r w:rsidR="00BE44F9" w:rsidRPr="0039145D">
        <w:rPr>
          <w:sz w:val="28"/>
          <w:szCs w:val="28"/>
        </w:rPr>
        <w:t>2</w:t>
      </w:r>
      <w:r w:rsidRPr="0039145D">
        <w:rPr>
          <w:sz w:val="28"/>
          <w:szCs w:val="28"/>
        </w:rPr>
        <w:t xml:space="preserve"> года</w:t>
      </w:r>
      <w:r w:rsidR="0039145D">
        <w:rPr>
          <w:sz w:val="28"/>
          <w:szCs w:val="28"/>
        </w:rPr>
        <w:t xml:space="preserve"> №175</w:t>
      </w:r>
    </w:p>
    <w:p w:rsidR="00F23B60" w:rsidRDefault="00F23B60">
      <w:pPr>
        <w:spacing w:before="120"/>
        <w:jc w:val="center"/>
        <w:rPr>
          <w:b/>
          <w:bCs/>
        </w:rPr>
      </w:pPr>
      <w:r>
        <w:rPr>
          <w:b/>
        </w:rPr>
        <w:t xml:space="preserve">Программа </w:t>
      </w:r>
      <w:r w:rsidR="002C3292">
        <w:rPr>
          <w:b/>
        </w:rPr>
        <w:t>муниципальных</w:t>
      </w:r>
      <w:r>
        <w:rPr>
          <w:b/>
        </w:rPr>
        <w:t xml:space="preserve"> гарантий </w:t>
      </w:r>
      <w:r w:rsidR="002C3292">
        <w:rPr>
          <w:b/>
        </w:rPr>
        <w:t>Троснянского района</w:t>
      </w:r>
      <w:r>
        <w:rPr>
          <w:b/>
        </w:rPr>
        <w:t xml:space="preserve"> на 201</w:t>
      </w:r>
      <w:r w:rsidR="00BE44F9">
        <w:rPr>
          <w:b/>
        </w:rPr>
        <w:t>3</w:t>
      </w:r>
      <w:r>
        <w:rPr>
          <w:b/>
        </w:rPr>
        <w:t xml:space="preserve"> год</w:t>
      </w:r>
    </w:p>
    <w:p w:rsidR="00F23B60" w:rsidRDefault="00F23B60">
      <w:pPr>
        <w:spacing w:before="120"/>
        <w:ind w:firstLine="567"/>
        <w:rPr>
          <w:b/>
        </w:rPr>
      </w:pPr>
      <w:r>
        <w:rPr>
          <w:b/>
        </w:rPr>
        <w:t xml:space="preserve">1.1. Перечень подлежащих предоставлению </w:t>
      </w:r>
      <w:r w:rsidR="002C3292">
        <w:rPr>
          <w:b/>
        </w:rPr>
        <w:t>муниципальных</w:t>
      </w:r>
      <w:r>
        <w:rPr>
          <w:b/>
        </w:rPr>
        <w:t xml:space="preserve"> гарантий </w:t>
      </w:r>
      <w:r w:rsidR="002C3292">
        <w:rPr>
          <w:b/>
        </w:rPr>
        <w:t xml:space="preserve"> Троснянского района</w:t>
      </w:r>
      <w:r>
        <w:rPr>
          <w:b/>
        </w:rPr>
        <w:t xml:space="preserve"> в 201</w:t>
      </w:r>
      <w:r w:rsidR="002C4154">
        <w:rPr>
          <w:b/>
        </w:rPr>
        <w:t>3</w:t>
      </w:r>
      <w:r>
        <w:rPr>
          <w:b/>
        </w:rPr>
        <w:t xml:space="preserve"> году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81"/>
        <w:gridCol w:w="2346"/>
        <w:gridCol w:w="1497"/>
        <w:gridCol w:w="1309"/>
        <w:gridCol w:w="1309"/>
        <w:gridCol w:w="1496"/>
        <w:gridCol w:w="6936"/>
      </w:tblGrid>
      <w:tr w:rsidR="00F23B6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№</w:t>
            </w:r>
          </w:p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6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pacing w:val="-6"/>
                <w:sz w:val="18"/>
                <w:szCs w:val="18"/>
              </w:rPr>
              <w:t>/</w:t>
            </w:r>
            <w:proofErr w:type="spellStart"/>
            <w:r>
              <w:rPr>
                <w:spacing w:val="-6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Цель гарантир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вания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Наименование принцип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ла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Сумма гарант</w:t>
            </w:r>
            <w:r>
              <w:rPr>
                <w:spacing w:val="-6"/>
                <w:sz w:val="18"/>
                <w:szCs w:val="18"/>
              </w:rPr>
              <w:t>и</w:t>
            </w:r>
            <w:r>
              <w:rPr>
                <w:spacing w:val="-6"/>
                <w:sz w:val="18"/>
                <w:szCs w:val="18"/>
              </w:rPr>
              <w:t>рования на 201</w:t>
            </w:r>
            <w:r w:rsidR="002B146D">
              <w:rPr>
                <w:spacing w:val="-6"/>
                <w:sz w:val="18"/>
                <w:szCs w:val="18"/>
              </w:rPr>
              <w:t>3</w:t>
            </w:r>
            <w:r>
              <w:rPr>
                <w:spacing w:val="-6"/>
                <w:sz w:val="18"/>
                <w:szCs w:val="18"/>
              </w:rPr>
              <w:t xml:space="preserve"> год, тыс. ру</w:t>
            </w:r>
            <w:r>
              <w:rPr>
                <w:spacing w:val="-6"/>
                <w:sz w:val="18"/>
                <w:szCs w:val="18"/>
              </w:rPr>
              <w:t>б</w:t>
            </w:r>
            <w:r>
              <w:rPr>
                <w:spacing w:val="-6"/>
                <w:sz w:val="18"/>
                <w:szCs w:val="18"/>
              </w:rPr>
              <w:t>лей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Наличие права регрессного требов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ния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Проверка финанс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вого состояния при</w:t>
            </w:r>
            <w:r>
              <w:rPr>
                <w:spacing w:val="-6"/>
                <w:sz w:val="18"/>
                <w:szCs w:val="18"/>
              </w:rPr>
              <w:t>н</w:t>
            </w:r>
            <w:r>
              <w:rPr>
                <w:spacing w:val="-6"/>
                <w:sz w:val="18"/>
                <w:szCs w:val="18"/>
              </w:rPr>
              <w:t>ципала</w:t>
            </w:r>
          </w:p>
        </w:tc>
        <w:tc>
          <w:tcPr>
            <w:tcW w:w="6936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Иные условия предоставления </w:t>
            </w:r>
            <w:r w:rsidR="002C3292">
              <w:rPr>
                <w:spacing w:val="-6"/>
                <w:sz w:val="18"/>
                <w:szCs w:val="18"/>
              </w:rPr>
              <w:t xml:space="preserve"> муниципальных</w:t>
            </w:r>
            <w:r>
              <w:rPr>
                <w:spacing w:val="-6"/>
                <w:sz w:val="18"/>
                <w:szCs w:val="18"/>
              </w:rPr>
              <w:t xml:space="preserve"> гарантий</w:t>
            </w:r>
          </w:p>
        </w:tc>
      </w:tr>
      <w:tr w:rsidR="00F23B60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F23B60" w:rsidRDefault="00F23B60">
            <w:pPr>
              <w:widowControl w:val="0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:rsidR="00F23B60" w:rsidRDefault="00F23B60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По кредитам, привлекаемым отобранными в порядке, уст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 xml:space="preserve">новленном </w:t>
            </w:r>
            <w:r w:rsidR="002C3292">
              <w:rPr>
                <w:spacing w:val="-6"/>
                <w:sz w:val="18"/>
                <w:szCs w:val="18"/>
              </w:rPr>
              <w:t>администрацией района</w:t>
            </w:r>
            <w:r>
              <w:rPr>
                <w:spacing w:val="-6"/>
                <w:sz w:val="18"/>
                <w:szCs w:val="18"/>
              </w:rPr>
              <w:t>, организациями на ос</w:t>
            </w:r>
            <w:r>
              <w:rPr>
                <w:spacing w:val="-6"/>
                <w:sz w:val="18"/>
                <w:szCs w:val="18"/>
              </w:rPr>
              <w:t>у</w:t>
            </w:r>
            <w:r>
              <w:rPr>
                <w:spacing w:val="-6"/>
                <w:sz w:val="18"/>
                <w:szCs w:val="18"/>
              </w:rPr>
              <w:t>ществление основной прои</w:t>
            </w:r>
            <w:r>
              <w:rPr>
                <w:spacing w:val="-6"/>
                <w:sz w:val="18"/>
                <w:szCs w:val="18"/>
              </w:rPr>
              <w:t>з</w:t>
            </w:r>
            <w:r>
              <w:rPr>
                <w:spacing w:val="-6"/>
                <w:sz w:val="18"/>
                <w:szCs w:val="18"/>
              </w:rPr>
              <w:t>водственной деятельн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сти и капитальные вл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жения</w:t>
            </w:r>
          </w:p>
        </w:tc>
        <w:tc>
          <w:tcPr>
            <w:tcW w:w="1497" w:type="dxa"/>
            <w:shd w:val="clear" w:color="auto" w:fill="auto"/>
          </w:tcPr>
          <w:p w:rsidR="00F23B60" w:rsidRDefault="00F23B60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Организации, от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 xml:space="preserve">бранные в порядке, установленном </w:t>
            </w:r>
            <w:r w:rsidR="002C3292">
              <w:rPr>
                <w:spacing w:val="-6"/>
                <w:sz w:val="18"/>
                <w:szCs w:val="18"/>
              </w:rPr>
              <w:t xml:space="preserve"> администрацией района</w:t>
            </w:r>
          </w:p>
        </w:tc>
        <w:tc>
          <w:tcPr>
            <w:tcW w:w="1309" w:type="dxa"/>
            <w:shd w:val="clear" w:color="auto" w:fill="auto"/>
          </w:tcPr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500</w:t>
            </w:r>
            <w:r w:rsidR="002C3292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1309" w:type="dxa"/>
            <w:shd w:val="clear" w:color="auto" w:fill="auto"/>
          </w:tcPr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есть</w:t>
            </w:r>
          </w:p>
        </w:tc>
        <w:tc>
          <w:tcPr>
            <w:tcW w:w="1496" w:type="dxa"/>
            <w:shd w:val="clear" w:color="auto" w:fill="auto"/>
          </w:tcPr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есть</w:t>
            </w:r>
          </w:p>
        </w:tc>
        <w:tc>
          <w:tcPr>
            <w:tcW w:w="6936" w:type="dxa"/>
            <w:shd w:val="clear" w:color="auto" w:fill="auto"/>
          </w:tcPr>
          <w:p w:rsidR="00F23B60" w:rsidRDefault="00F23B60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1.Решение о предоставлении </w:t>
            </w:r>
            <w:r w:rsidR="002C3292">
              <w:rPr>
                <w:spacing w:val="-6"/>
                <w:sz w:val="18"/>
                <w:szCs w:val="18"/>
              </w:rPr>
              <w:t>муниципальной</w:t>
            </w:r>
            <w:r>
              <w:rPr>
                <w:spacing w:val="-6"/>
                <w:sz w:val="18"/>
                <w:szCs w:val="18"/>
              </w:rPr>
              <w:t xml:space="preserve"> гарантии </w:t>
            </w:r>
            <w:r w:rsidR="002C3292">
              <w:rPr>
                <w:spacing w:val="-6"/>
                <w:sz w:val="18"/>
                <w:szCs w:val="18"/>
              </w:rPr>
              <w:t>Троснянского района</w:t>
            </w:r>
            <w:r>
              <w:rPr>
                <w:spacing w:val="-6"/>
                <w:sz w:val="18"/>
                <w:szCs w:val="18"/>
              </w:rPr>
              <w:t xml:space="preserve"> утверждае</w:t>
            </w:r>
            <w:r>
              <w:rPr>
                <w:spacing w:val="-6"/>
                <w:sz w:val="18"/>
                <w:szCs w:val="18"/>
              </w:rPr>
              <w:t>т</w:t>
            </w:r>
            <w:r>
              <w:rPr>
                <w:spacing w:val="-6"/>
                <w:sz w:val="18"/>
                <w:szCs w:val="18"/>
              </w:rPr>
              <w:t xml:space="preserve">ся </w:t>
            </w:r>
            <w:r w:rsidR="002C3292">
              <w:rPr>
                <w:spacing w:val="-6"/>
                <w:sz w:val="18"/>
                <w:szCs w:val="18"/>
              </w:rPr>
              <w:t>Троснянским районным</w:t>
            </w:r>
            <w:r>
              <w:rPr>
                <w:spacing w:val="-6"/>
                <w:sz w:val="18"/>
                <w:szCs w:val="18"/>
              </w:rPr>
              <w:t xml:space="preserve"> Советом народных депут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тов.</w:t>
            </w:r>
          </w:p>
          <w:p w:rsidR="00F23B60" w:rsidRDefault="00F23B60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2. </w:t>
            </w:r>
            <w:r w:rsidR="002C3292">
              <w:rPr>
                <w:spacing w:val="-6"/>
                <w:sz w:val="18"/>
                <w:szCs w:val="18"/>
              </w:rPr>
              <w:t>Муниципальные</w:t>
            </w:r>
            <w:r>
              <w:rPr>
                <w:spacing w:val="-6"/>
                <w:sz w:val="18"/>
                <w:szCs w:val="18"/>
              </w:rPr>
              <w:t xml:space="preserve"> гарантии</w:t>
            </w:r>
            <w:r w:rsidR="002C3292">
              <w:rPr>
                <w:spacing w:val="-6"/>
                <w:sz w:val="18"/>
                <w:szCs w:val="18"/>
              </w:rPr>
              <w:t xml:space="preserve"> Троснянского района</w:t>
            </w:r>
            <w:r>
              <w:rPr>
                <w:spacing w:val="-6"/>
                <w:sz w:val="18"/>
                <w:szCs w:val="18"/>
              </w:rPr>
              <w:t xml:space="preserve"> предоставляются в обеспечение возвр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та до 90 процентов основного долга по кредитам (в том числе по кредитам в рамках возобновля</w:t>
            </w:r>
            <w:r>
              <w:rPr>
                <w:spacing w:val="-6"/>
                <w:sz w:val="18"/>
                <w:szCs w:val="18"/>
              </w:rPr>
              <w:t>е</w:t>
            </w:r>
            <w:r>
              <w:rPr>
                <w:spacing w:val="-6"/>
                <w:sz w:val="18"/>
                <w:szCs w:val="18"/>
              </w:rPr>
              <w:t>мых кредитных линий), предоставляемым принципалам на осуществление основной производс</w:t>
            </w:r>
            <w:r>
              <w:rPr>
                <w:spacing w:val="-6"/>
                <w:sz w:val="18"/>
                <w:szCs w:val="18"/>
              </w:rPr>
              <w:t>т</w:t>
            </w:r>
            <w:r>
              <w:rPr>
                <w:spacing w:val="-6"/>
                <w:sz w:val="18"/>
                <w:szCs w:val="18"/>
              </w:rPr>
              <w:t>венной деятельности и капитальные вложения. Требование бенефициара об исполнении</w:t>
            </w:r>
            <w:r w:rsidR="00856602">
              <w:rPr>
                <w:spacing w:val="-6"/>
                <w:sz w:val="18"/>
                <w:szCs w:val="18"/>
              </w:rPr>
              <w:t xml:space="preserve"> мун</w:t>
            </w:r>
            <w:r w:rsidR="00856602">
              <w:rPr>
                <w:spacing w:val="-6"/>
                <w:sz w:val="18"/>
                <w:szCs w:val="18"/>
              </w:rPr>
              <w:t>и</w:t>
            </w:r>
            <w:r w:rsidR="00856602">
              <w:rPr>
                <w:spacing w:val="-6"/>
                <w:sz w:val="18"/>
                <w:szCs w:val="18"/>
              </w:rPr>
              <w:t>ципальной</w:t>
            </w:r>
            <w:r>
              <w:rPr>
                <w:spacing w:val="-6"/>
                <w:sz w:val="18"/>
                <w:szCs w:val="18"/>
              </w:rPr>
              <w:t xml:space="preserve"> гарантии </w:t>
            </w:r>
            <w:r w:rsidR="00856602">
              <w:rPr>
                <w:spacing w:val="-6"/>
                <w:sz w:val="18"/>
                <w:szCs w:val="18"/>
              </w:rPr>
              <w:t xml:space="preserve"> Троснянского района</w:t>
            </w:r>
            <w:r>
              <w:rPr>
                <w:spacing w:val="-6"/>
                <w:sz w:val="18"/>
                <w:szCs w:val="18"/>
              </w:rPr>
              <w:t xml:space="preserve"> подлежит исполнению гарантом в размере, не пр</w:t>
            </w:r>
            <w:r>
              <w:rPr>
                <w:spacing w:val="-6"/>
                <w:sz w:val="18"/>
                <w:szCs w:val="18"/>
              </w:rPr>
              <w:t>е</w:t>
            </w:r>
            <w:r>
              <w:rPr>
                <w:spacing w:val="-6"/>
                <w:sz w:val="18"/>
                <w:szCs w:val="18"/>
              </w:rPr>
              <w:t>вышающем 90 процентов суммы неисполненных обязатель</w:t>
            </w:r>
            <w:proofErr w:type="gramStart"/>
            <w:r>
              <w:rPr>
                <w:spacing w:val="-6"/>
                <w:sz w:val="18"/>
                <w:szCs w:val="18"/>
              </w:rPr>
              <w:t>ств пр</w:t>
            </w:r>
            <w:proofErr w:type="gramEnd"/>
            <w:r>
              <w:rPr>
                <w:spacing w:val="-6"/>
                <w:sz w:val="18"/>
                <w:szCs w:val="18"/>
              </w:rPr>
              <w:t>инципала по возврату осно</w:t>
            </w:r>
            <w:r>
              <w:rPr>
                <w:spacing w:val="-6"/>
                <w:sz w:val="18"/>
                <w:szCs w:val="18"/>
              </w:rPr>
              <w:t>в</w:t>
            </w:r>
            <w:r>
              <w:rPr>
                <w:spacing w:val="-6"/>
                <w:sz w:val="18"/>
                <w:szCs w:val="18"/>
              </w:rPr>
              <w:t xml:space="preserve">ного долга, оставшихся после полной реализации иного, кроме </w:t>
            </w:r>
            <w:r w:rsidR="00856602">
              <w:rPr>
                <w:spacing w:val="-6"/>
                <w:sz w:val="18"/>
                <w:szCs w:val="18"/>
              </w:rPr>
              <w:t>муниципальной гарантии Тро</w:t>
            </w:r>
            <w:r w:rsidR="00856602">
              <w:rPr>
                <w:spacing w:val="-6"/>
                <w:sz w:val="18"/>
                <w:szCs w:val="18"/>
              </w:rPr>
              <w:t>с</w:t>
            </w:r>
            <w:r w:rsidR="00856602">
              <w:rPr>
                <w:spacing w:val="-6"/>
                <w:sz w:val="18"/>
                <w:szCs w:val="18"/>
              </w:rPr>
              <w:t>нянского района</w:t>
            </w:r>
            <w:r>
              <w:rPr>
                <w:spacing w:val="-6"/>
                <w:sz w:val="18"/>
                <w:szCs w:val="18"/>
              </w:rPr>
              <w:t>, обеспечения исполнения обязательств принципала по кред</w:t>
            </w:r>
            <w:r>
              <w:rPr>
                <w:spacing w:val="-6"/>
                <w:sz w:val="18"/>
                <w:szCs w:val="18"/>
              </w:rPr>
              <w:t>и</w:t>
            </w:r>
            <w:r>
              <w:rPr>
                <w:spacing w:val="-6"/>
                <w:sz w:val="18"/>
                <w:szCs w:val="18"/>
              </w:rPr>
              <w:t>ту.</w:t>
            </w:r>
          </w:p>
          <w:p w:rsidR="00F23B60" w:rsidRDefault="00F23B60">
            <w:pPr>
              <w:widowControl w:val="0"/>
              <w:jc w:val="both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 xml:space="preserve">3. Для целей предоставления </w:t>
            </w:r>
            <w:r w:rsidR="00856602">
              <w:rPr>
                <w:spacing w:val="-8"/>
                <w:sz w:val="18"/>
                <w:szCs w:val="18"/>
              </w:rPr>
              <w:t>муниципальных</w:t>
            </w:r>
            <w:r>
              <w:rPr>
                <w:spacing w:val="-8"/>
                <w:sz w:val="18"/>
                <w:szCs w:val="18"/>
              </w:rPr>
              <w:t xml:space="preserve"> гарантий </w:t>
            </w:r>
            <w:r w:rsidR="00856602">
              <w:rPr>
                <w:spacing w:val="-8"/>
                <w:sz w:val="18"/>
                <w:szCs w:val="18"/>
              </w:rPr>
              <w:t>Троснянского района</w:t>
            </w:r>
            <w:r>
              <w:rPr>
                <w:spacing w:val="-8"/>
                <w:sz w:val="18"/>
                <w:szCs w:val="18"/>
              </w:rPr>
              <w:t xml:space="preserve"> критерии о</w:t>
            </w:r>
            <w:r>
              <w:rPr>
                <w:spacing w:val="-8"/>
                <w:sz w:val="18"/>
                <w:szCs w:val="18"/>
              </w:rPr>
              <w:t>т</w:t>
            </w:r>
            <w:r>
              <w:rPr>
                <w:spacing w:val="-8"/>
                <w:sz w:val="18"/>
                <w:szCs w:val="18"/>
              </w:rPr>
              <w:t xml:space="preserve">бора принципалов и перечень отраслей экономики определяются </w:t>
            </w:r>
            <w:r w:rsidR="00856602">
              <w:rPr>
                <w:spacing w:val="-8"/>
                <w:sz w:val="18"/>
                <w:szCs w:val="18"/>
              </w:rPr>
              <w:t xml:space="preserve"> администрацией района</w:t>
            </w:r>
            <w:r>
              <w:rPr>
                <w:spacing w:val="-8"/>
                <w:sz w:val="18"/>
                <w:szCs w:val="18"/>
              </w:rPr>
              <w:t>.</w:t>
            </w:r>
          </w:p>
          <w:p w:rsidR="00F23B60" w:rsidRDefault="00F23B60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4. </w:t>
            </w:r>
            <w:r w:rsidR="00856602">
              <w:rPr>
                <w:spacing w:val="-6"/>
                <w:sz w:val="18"/>
                <w:szCs w:val="18"/>
              </w:rPr>
              <w:t>Троснянский район</w:t>
            </w:r>
            <w:r>
              <w:rPr>
                <w:spacing w:val="-6"/>
                <w:sz w:val="18"/>
                <w:szCs w:val="18"/>
              </w:rPr>
              <w:t xml:space="preserve"> по </w:t>
            </w:r>
            <w:r w:rsidR="00856602">
              <w:rPr>
                <w:spacing w:val="-6"/>
                <w:sz w:val="18"/>
                <w:szCs w:val="18"/>
              </w:rPr>
              <w:t>муниципальным</w:t>
            </w:r>
            <w:r>
              <w:rPr>
                <w:spacing w:val="-6"/>
                <w:sz w:val="18"/>
                <w:szCs w:val="18"/>
              </w:rPr>
              <w:t xml:space="preserve"> гарантиям</w:t>
            </w:r>
            <w:r w:rsidR="00856602">
              <w:rPr>
                <w:spacing w:val="-6"/>
                <w:sz w:val="18"/>
                <w:szCs w:val="18"/>
              </w:rPr>
              <w:t xml:space="preserve"> Троснянского района</w:t>
            </w:r>
            <w:r>
              <w:rPr>
                <w:spacing w:val="-6"/>
                <w:sz w:val="18"/>
                <w:szCs w:val="18"/>
              </w:rPr>
              <w:t xml:space="preserve"> несет субсидиа</w:t>
            </w:r>
            <w:r>
              <w:rPr>
                <w:spacing w:val="-6"/>
                <w:sz w:val="18"/>
                <w:szCs w:val="18"/>
              </w:rPr>
              <w:t>р</w:t>
            </w:r>
            <w:r>
              <w:rPr>
                <w:spacing w:val="-6"/>
                <w:sz w:val="18"/>
                <w:szCs w:val="18"/>
              </w:rPr>
              <w:t>ную ответстве</w:t>
            </w:r>
            <w:r>
              <w:rPr>
                <w:spacing w:val="-6"/>
                <w:sz w:val="18"/>
                <w:szCs w:val="18"/>
              </w:rPr>
              <w:t>н</w:t>
            </w:r>
            <w:r>
              <w:rPr>
                <w:spacing w:val="-6"/>
                <w:sz w:val="18"/>
                <w:szCs w:val="18"/>
              </w:rPr>
              <w:t>ность.</w:t>
            </w:r>
          </w:p>
          <w:p w:rsidR="00F23B60" w:rsidRDefault="00F23B60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5. </w:t>
            </w:r>
            <w:r w:rsidR="00856602">
              <w:rPr>
                <w:spacing w:val="-6"/>
                <w:sz w:val="18"/>
                <w:szCs w:val="18"/>
              </w:rPr>
              <w:t>Муниципальные</w:t>
            </w:r>
            <w:r>
              <w:rPr>
                <w:spacing w:val="-6"/>
                <w:sz w:val="18"/>
                <w:szCs w:val="18"/>
              </w:rPr>
              <w:t xml:space="preserve"> гарантии </w:t>
            </w:r>
            <w:r w:rsidR="00856602">
              <w:rPr>
                <w:spacing w:val="-6"/>
                <w:sz w:val="18"/>
                <w:szCs w:val="18"/>
              </w:rPr>
              <w:t>Троснянского района</w:t>
            </w:r>
            <w:r>
              <w:rPr>
                <w:spacing w:val="-6"/>
                <w:sz w:val="18"/>
                <w:szCs w:val="18"/>
              </w:rPr>
              <w:t xml:space="preserve"> не обеспечивают исполнение обяз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тель</w:t>
            </w:r>
            <w:proofErr w:type="gramStart"/>
            <w:r>
              <w:rPr>
                <w:spacing w:val="-6"/>
                <w:sz w:val="18"/>
                <w:szCs w:val="18"/>
              </w:rPr>
              <w:t>ств пр</w:t>
            </w:r>
            <w:proofErr w:type="gramEnd"/>
            <w:r>
              <w:rPr>
                <w:spacing w:val="-6"/>
                <w:sz w:val="18"/>
                <w:szCs w:val="18"/>
              </w:rPr>
              <w:t>инципала по уплате процентов за пользование кредитом, иных процентов, коми</w:t>
            </w:r>
            <w:r>
              <w:rPr>
                <w:spacing w:val="-6"/>
                <w:sz w:val="18"/>
                <w:szCs w:val="18"/>
              </w:rPr>
              <w:t>с</w:t>
            </w:r>
            <w:r>
              <w:rPr>
                <w:spacing w:val="-6"/>
                <w:sz w:val="18"/>
                <w:szCs w:val="18"/>
              </w:rPr>
              <w:t>сий, а также неустоек (пеней, штрафов) за нарушение обязательств принц</w:t>
            </w:r>
            <w:r>
              <w:rPr>
                <w:spacing w:val="-6"/>
                <w:sz w:val="18"/>
                <w:szCs w:val="18"/>
              </w:rPr>
              <w:t>и</w:t>
            </w:r>
            <w:r>
              <w:rPr>
                <w:spacing w:val="-6"/>
                <w:sz w:val="18"/>
                <w:szCs w:val="18"/>
              </w:rPr>
              <w:t>пала.</w:t>
            </w:r>
          </w:p>
          <w:p w:rsidR="00F23B60" w:rsidRDefault="00F23B60">
            <w:pPr>
              <w:widowControl w:val="0"/>
              <w:jc w:val="both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 xml:space="preserve">6. </w:t>
            </w:r>
            <w:proofErr w:type="gramStart"/>
            <w:r>
              <w:rPr>
                <w:spacing w:val="-8"/>
                <w:sz w:val="18"/>
                <w:szCs w:val="18"/>
              </w:rPr>
              <w:t>Права требования кредитора по кредитному договору (включая права требования на получение процентов за пользование денежными средствами, начисляемых в соответствии с условиями кр</w:t>
            </w:r>
            <w:r>
              <w:rPr>
                <w:spacing w:val="-8"/>
                <w:sz w:val="18"/>
                <w:szCs w:val="18"/>
              </w:rPr>
              <w:t>е</w:t>
            </w:r>
            <w:r>
              <w:rPr>
                <w:spacing w:val="-8"/>
                <w:sz w:val="18"/>
                <w:szCs w:val="18"/>
              </w:rPr>
              <w:t xml:space="preserve">дитного договора), а также по иному, кроме </w:t>
            </w:r>
            <w:r w:rsidR="00856602">
              <w:rPr>
                <w:spacing w:val="-8"/>
                <w:sz w:val="18"/>
                <w:szCs w:val="18"/>
              </w:rPr>
              <w:t>муниципальной</w:t>
            </w:r>
            <w:r>
              <w:rPr>
                <w:spacing w:val="-8"/>
                <w:sz w:val="18"/>
                <w:szCs w:val="18"/>
              </w:rPr>
              <w:t xml:space="preserve"> гарантии </w:t>
            </w:r>
            <w:r w:rsidR="00856602">
              <w:rPr>
                <w:spacing w:val="-8"/>
                <w:sz w:val="18"/>
                <w:szCs w:val="18"/>
              </w:rPr>
              <w:t xml:space="preserve"> Троснянского района</w:t>
            </w:r>
            <w:r>
              <w:rPr>
                <w:spacing w:val="-8"/>
                <w:sz w:val="18"/>
                <w:szCs w:val="18"/>
              </w:rPr>
              <w:t>, обеспечению исполнения обязательств принципала по кредитному договору подлежат усту</w:t>
            </w:r>
            <w:r>
              <w:rPr>
                <w:spacing w:val="-8"/>
                <w:sz w:val="18"/>
                <w:szCs w:val="18"/>
              </w:rPr>
              <w:t>п</w:t>
            </w:r>
            <w:r>
              <w:rPr>
                <w:spacing w:val="-8"/>
                <w:sz w:val="18"/>
                <w:szCs w:val="18"/>
              </w:rPr>
              <w:t xml:space="preserve">ке в пользу </w:t>
            </w:r>
            <w:r w:rsidR="00856602">
              <w:rPr>
                <w:spacing w:val="-8"/>
                <w:sz w:val="18"/>
                <w:szCs w:val="18"/>
              </w:rPr>
              <w:t xml:space="preserve"> Троснянского района</w:t>
            </w:r>
            <w:r>
              <w:rPr>
                <w:spacing w:val="-8"/>
                <w:sz w:val="18"/>
                <w:szCs w:val="18"/>
              </w:rPr>
              <w:t xml:space="preserve"> до исполнения </w:t>
            </w:r>
            <w:r w:rsidR="00856602">
              <w:rPr>
                <w:spacing w:val="-8"/>
                <w:sz w:val="18"/>
                <w:szCs w:val="18"/>
              </w:rPr>
              <w:t xml:space="preserve"> муниципальной</w:t>
            </w:r>
            <w:r>
              <w:rPr>
                <w:spacing w:val="-8"/>
                <w:sz w:val="18"/>
                <w:szCs w:val="18"/>
              </w:rPr>
              <w:t xml:space="preserve"> гарантии</w:t>
            </w:r>
            <w:r w:rsidR="00856602">
              <w:rPr>
                <w:spacing w:val="-8"/>
                <w:sz w:val="18"/>
                <w:szCs w:val="18"/>
              </w:rPr>
              <w:t xml:space="preserve"> Троснянского района</w:t>
            </w:r>
            <w:r>
              <w:rPr>
                <w:spacing w:val="-8"/>
                <w:sz w:val="18"/>
                <w:szCs w:val="18"/>
              </w:rPr>
              <w:t>.</w:t>
            </w:r>
            <w:proofErr w:type="gramEnd"/>
          </w:p>
          <w:p w:rsidR="00F23B60" w:rsidRDefault="00F23B60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7. Срок кредита, в обеспечение которого предоставляется</w:t>
            </w:r>
            <w:r w:rsidR="00856602">
              <w:rPr>
                <w:spacing w:val="-6"/>
                <w:sz w:val="18"/>
                <w:szCs w:val="18"/>
              </w:rPr>
              <w:t xml:space="preserve"> муниципальная</w:t>
            </w:r>
            <w:r>
              <w:rPr>
                <w:spacing w:val="-6"/>
                <w:sz w:val="18"/>
                <w:szCs w:val="18"/>
              </w:rPr>
              <w:t xml:space="preserve"> гарантия</w:t>
            </w:r>
            <w:r w:rsidR="00856602">
              <w:rPr>
                <w:spacing w:val="-6"/>
                <w:sz w:val="18"/>
                <w:szCs w:val="18"/>
              </w:rPr>
              <w:t xml:space="preserve"> Тросня</w:t>
            </w:r>
            <w:r w:rsidR="00856602">
              <w:rPr>
                <w:spacing w:val="-6"/>
                <w:sz w:val="18"/>
                <w:szCs w:val="18"/>
              </w:rPr>
              <w:t>н</w:t>
            </w:r>
            <w:r w:rsidR="00856602">
              <w:rPr>
                <w:spacing w:val="-6"/>
                <w:sz w:val="18"/>
                <w:szCs w:val="18"/>
              </w:rPr>
              <w:t>ского района</w:t>
            </w:r>
            <w:r>
              <w:rPr>
                <w:spacing w:val="-6"/>
                <w:sz w:val="18"/>
                <w:szCs w:val="18"/>
              </w:rPr>
              <w:t>, должен составлять от одного года до трех лет. Срок гарантии определяется исх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дя из установленного кредитным договором срока возврата кредита, увеличенн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го на один или два года в зависимости от вида иного обеспечения по кред</w:t>
            </w:r>
            <w:r>
              <w:rPr>
                <w:spacing w:val="-6"/>
                <w:sz w:val="18"/>
                <w:szCs w:val="18"/>
              </w:rPr>
              <w:t>и</w:t>
            </w:r>
            <w:r>
              <w:rPr>
                <w:spacing w:val="-6"/>
                <w:sz w:val="18"/>
                <w:szCs w:val="18"/>
              </w:rPr>
              <w:t>ту.</w:t>
            </w:r>
          </w:p>
        </w:tc>
      </w:tr>
      <w:tr w:rsidR="00F23B60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3B60" w:rsidRDefault="00F23B60">
            <w:pPr>
              <w:widowControl w:val="0"/>
              <w:rPr>
                <w:b/>
                <w:spacing w:val="-6"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rPr>
                <w:b/>
                <w:spacing w:val="-6"/>
                <w:sz w:val="18"/>
                <w:szCs w:val="18"/>
              </w:rPr>
            </w:pPr>
            <w:r>
              <w:rPr>
                <w:b/>
                <w:spacing w:val="-6"/>
                <w:sz w:val="18"/>
                <w:szCs w:val="18"/>
              </w:rPr>
              <w:t>ИТОГО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b/>
                <w:spacing w:val="-6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7E3CD4" w:rsidRDefault="00F23B60">
            <w:pPr>
              <w:widowControl w:val="0"/>
              <w:jc w:val="center"/>
              <w:rPr>
                <w:b/>
                <w:spacing w:val="-6"/>
                <w:sz w:val="18"/>
                <w:szCs w:val="18"/>
                <w:lang w:val="en-US"/>
              </w:rPr>
            </w:pPr>
            <w:r>
              <w:rPr>
                <w:b/>
                <w:spacing w:val="-6"/>
                <w:sz w:val="18"/>
                <w:szCs w:val="18"/>
              </w:rPr>
              <w:t>500</w:t>
            </w:r>
            <w:r w:rsidR="007E3CD4">
              <w:rPr>
                <w:b/>
                <w:spacing w:val="-6"/>
                <w:sz w:val="18"/>
                <w:szCs w:val="18"/>
              </w:rPr>
              <w:t>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b/>
                <w:spacing w:val="-6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b/>
                <w:spacing w:val="-6"/>
                <w:sz w:val="18"/>
                <w:szCs w:val="18"/>
              </w:rPr>
            </w:pPr>
          </w:p>
        </w:tc>
        <w:tc>
          <w:tcPr>
            <w:tcW w:w="6936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b/>
                <w:spacing w:val="-6"/>
                <w:sz w:val="18"/>
                <w:szCs w:val="18"/>
              </w:rPr>
            </w:pPr>
          </w:p>
        </w:tc>
      </w:tr>
    </w:tbl>
    <w:p w:rsidR="00F23B60" w:rsidRDefault="00F23B60">
      <w:pPr>
        <w:spacing w:before="120"/>
        <w:ind w:firstLine="567"/>
        <w:jc w:val="both"/>
        <w:rPr>
          <w:b/>
        </w:rPr>
      </w:pPr>
      <w:r>
        <w:rPr>
          <w:b/>
        </w:rPr>
        <w:t xml:space="preserve">1.2. Общий объем бюджетных ассигнований, предусмотренных на исполнение </w:t>
      </w:r>
      <w:r w:rsidR="00C212F0">
        <w:rPr>
          <w:b/>
        </w:rPr>
        <w:t>муниципальных</w:t>
      </w:r>
      <w:r>
        <w:rPr>
          <w:b/>
        </w:rPr>
        <w:t xml:space="preserve"> гарантий </w:t>
      </w:r>
      <w:r w:rsidR="00C212F0">
        <w:rPr>
          <w:b/>
        </w:rPr>
        <w:t>Троснянского района</w:t>
      </w:r>
      <w:r>
        <w:rPr>
          <w:b/>
        </w:rPr>
        <w:t xml:space="preserve"> по возможным гарантийным случаям, в 201</w:t>
      </w:r>
      <w:r w:rsidR="002B146D">
        <w:rPr>
          <w:b/>
        </w:rPr>
        <w:t>3</w:t>
      </w:r>
      <w:r>
        <w:rPr>
          <w:b/>
        </w:rPr>
        <w:t xml:space="preserve"> году</w:t>
      </w:r>
    </w:p>
    <w:p w:rsidR="00F23B60" w:rsidRDefault="00F23B60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6205"/>
        <w:gridCol w:w="9034"/>
      </w:tblGrid>
      <w:tr w:rsidR="00F23B60">
        <w:trPr>
          <w:cantSplit/>
          <w:jc w:val="center"/>
        </w:trPr>
        <w:tc>
          <w:tcPr>
            <w:tcW w:w="6205" w:type="dxa"/>
            <w:vAlign w:val="center"/>
          </w:tcPr>
          <w:p w:rsidR="00F23B60" w:rsidRDefault="00F23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</w:t>
            </w:r>
            <w:r w:rsidR="00C212F0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 xml:space="preserve"> гарантий</w:t>
            </w:r>
            <w:r w:rsidR="00C212F0">
              <w:rPr>
                <w:sz w:val="18"/>
                <w:szCs w:val="18"/>
              </w:rPr>
              <w:t xml:space="preserve"> Троснянского района</w:t>
            </w:r>
          </w:p>
        </w:tc>
        <w:tc>
          <w:tcPr>
            <w:tcW w:w="9034" w:type="dxa"/>
            <w:vAlign w:val="center"/>
          </w:tcPr>
          <w:p w:rsidR="00F23B60" w:rsidRDefault="00F23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бюджетных ассигнований на исполнение гарантий по возможным гарантийным случ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ям</w:t>
            </w:r>
          </w:p>
        </w:tc>
      </w:tr>
      <w:tr w:rsidR="00F23B60">
        <w:trPr>
          <w:cantSplit/>
          <w:jc w:val="center"/>
        </w:trPr>
        <w:tc>
          <w:tcPr>
            <w:tcW w:w="6205" w:type="dxa"/>
            <w:vAlign w:val="center"/>
          </w:tcPr>
          <w:p w:rsidR="00F23B60" w:rsidRDefault="00F23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источников финансирования дефицита </w:t>
            </w:r>
            <w:r w:rsidR="00C212F0">
              <w:rPr>
                <w:sz w:val="18"/>
                <w:szCs w:val="18"/>
              </w:rPr>
              <w:t>районного</w:t>
            </w:r>
            <w:r>
              <w:rPr>
                <w:sz w:val="18"/>
                <w:szCs w:val="18"/>
              </w:rPr>
              <w:t xml:space="preserve"> бю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жета</w:t>
            </w:r>
          </w:p>
        </w:tc>
        <w:tc>
          <w:tcPr>
            <w:tcW w:w="9034" w:type="dxa"/>
            <w:vAlign w:val="center"/>
          </w:tcPr>
          <w:p w:rsidR="00F23B60" w:rsidRDefault="00F23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3B60">
        <w:trPr>
          <w:cantSplit/>
          <w:jc w:val="center"/>
        </w:trPr>
        <w:tc>
          <w:tcPr>
            <w:tcW w:w="6205" w:type="dxa"/>
            <w:vAlign w:val="center"/>
          </w:tcPr>
          <w:p w:rsidR="00F23B60" w:rsidRDefault="00F23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расходов </w:t>
            </w:r>
            <w:r w:rsidR="00C212F0">
              <w:rPr>
                <w:sz w:val="18"/>
                <w:szCs w:val="18"/>
              </w:rPr>
              <w:t>районного</w:t>
            </w:r>
            <w:r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9034" w:type="dxa"/>
            <w:vAlign w:val="center"/>
          </w:tcPr>
          <w:p w:rsidR="00F23B60" w:rsidRDefault="00F23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7E3CD4" w:rsidRDefault="007E3CD4" w:rsidP="007E3CD4">
      <w:pPr>
        <w:ind w:left="11220"/>
        <w:jc w:val="both"/>
      </w:pPr>
    </w:p>
    <w:p w:rsidR="00E43EBC" w:rsidRPr="0039145D" w:rsidRDefault="007E3CD4" w:rsidP="0039145D">
      <w:pPr>
        <w:ind w:left="10632"/>
        <w:jc w:val="center"/>
        <w:rPr>
          <w:sz w:val="28"/>
          <w:szCs w:val="28"/>
        </w:rPr>
      </w:pPr>
      <w:r w:rsidRPr="0039145D">
        <w:rPr>
          <w:sz w:val="28"/>
          <w:szCs w:val="28"/>
        </w:rPr>
        <w:lastRenderedPageBreak/>
        <w:t xml:space="preserve">Приложение </w:t>
      </w:r>
      <w:r w:rsidR="003B4038" w:rsidRPr="0039145D">
        <w:rPr>
          <w:sz w:val="28"/>
          <w:szCs w:val="28"/>
        </w:rPr>
        <w:t>2</w:t>
      </w:r>
      <w:r w:rsidR="00E43EBC" w:rsidRPr="0039145D">
        <w:rPr>
          <w:sz w:val="28"/>
          <w:szCs w:val="28"/>
        </w:rPr>
        <w:t>3</w:t>
      </w:r>
    </w:p>
    <w:p w:rsidR="007E3CD4" w:rsidRPr="0039145D" w:rsidRDefault="007E3CD4" w:rsidP="0039145D">
      <w:pPr>
        <w:ind w:left="10632"/>
        <w:jc w:val="center"/>
        <w:rPr>
          <w:sz w:val="28"/>
          <w:szCs w:val="28"/>
        </w:rPr>
      </w:pPr>
      <w:r w:rsidRPr="0039145D">
        <w:rPr>
          <w:sz w:val="28"/>
          <w:szCs w:val="28"/>
        </w:rPr>
        <w:t xml:space="preserve">к </w:t>
      </w:r>
      <w:r w:rsidR="003B241F" w:rsidRPr="0039145D">
        <w:rPr>
          <w:sz w:val="28"/>
          <w:szCs w:val="28"/>
        </w:rPr>
        <w:t>решению</w:t>
      </w:r>
      <w:r w:rsidRPr="0039145D">
        <w:rPr>
          <w:sz w:val="28"/>
          <w:szCs w:val="28"/>
        </w:rPr>
        <w:t xml:space="preserve"> Троснянского ра</w:t>
      </w:r>
      <w:r w:rsidRPr="0039145D">
        <w:rPr>
          <w:sz w:val="28"/>
          <w:szCs w:val="28"/>
        </w:rPr>
        <w:t>й</w:t>
      </w:r>
      <w:r w:rsidRPr="0039145D">
        <w:rPr>
          <w:sz w:val="28"/>
          <w:szCs w:val="28"/>
        </w:rPr>
        <w:t>онного Совета народных деп</w:t>
      </w:r>
      <w:r w:rsidRPr="0039145D">
        <w:rPr>
          <w:sz w:val="28"/>
          <w:szCs w:val="28"/>
        </w:rPr>
        <w:t>у</w:t>
      </w:r>
      <w:r w:rsidRPr="0039145D">
        <w:rPr>
          <w:sz w:val="28"/>
          <w:szCs w:val="28"/>
        </w:rPr>
        <w:t>татов</w:t>
      </w:r>
    </w:p>
    <w:p w:rsidR="007E3CD4" w:rsidRPr="0039145D" w:rsidRDefault="007E3CD4" w:rsidP="0039145D">
      <w:pPr>
        <w:ind w:left="10632"/>
        <w:jc w:val="center"/>
        <w:rPr>
          <w:sz w:val="28"/>
          <w:szCs w:val="28"/>
        </w:rPr>
      </w:pPr>
      <w:r w:rsidRPr="0039145D">
        <w:rPr>
          <w:sz w:val="28"/>
          <w:szCs w:val="28"/>
        </w:rPr>
        <w:t>от</w:t>
      </w:r>
      <w:r w:rsidR="00D84FC0" w:rsidRPr="0039145D">
        <w:rPr>
          <w:sz w:val="28"/>
          <w:szCs w:val="28"/>
        </w:rPr>
        <w:t xml:space="preserve"> </w:t>
      </w:r>
      <w:r w:rsidR="0039145D">
        <w:rPr>
          <w:sz w:val="28"/>
          <w:szCs w:val="28"/>
        </w:rPr>
        <w:t>18</w:t>
      </w:r>
      <w:r w:rsidR="00D84FC0" w:rsidRPr="0039145D">
        <w:rPr>
          <w:sz w:val="28"/>
          <w:szCs w:val="28"/>
        </w:rPr>
        <w:t xml:space="preserve"> </w:t>
      </w:r>
      <w:r w:rsidR="002C4154" w:rsidRPr="0039145D">
        <w:rPr>
          <w:sz w:val="28"/>
          <w:szCs w:val="28"/>
        </w:rPr>
        <w:t>декабря</w:t>
      </w:r>
      <w:r w:rsidRPr="0039145D">
        <w:rPr>
          <w:sz w:val="28"/>
          <w:szCs w:val="28"/>
        </w:rPr>
        <w:t xml:space="preserve"> 201</w:t>
      </w:r>
      <w:r w:rsidR="00D84FC0" w:rsidRPr="0039145D">
        <w:rPr>
          <w:sz w:val="28"/>
          <w:szCs w:val="28"/>
        </w:rPr>
        <w:t>2</w:t>
      </w:r>
      <w:r w:rsidR="003B241F" w:rsidRPr="0039145D">
        <w:rPr>
          <w:sz w:val="28"/>
          <w:szCs w:val="28"/>
        </w:rPr>
        <w:t xml:space="preserve"> </w:t>
      </w:r>
      <w:r w:rsidRPr="0039145D">
        <w:rPr>
          <w:sz w:val="28"/>
          <w:szCs w:val="28"/>
        </w:rPr>
        <w:t xml:space="preserve"> года</w:t>
      </w:r>
      <w:r w:rsidR="002C4154" w:rsidRPr="0039145D">
        <w:rPr>
          <w:sz w:val="28"/>
          <w:szCs w:val="28"/>
        </w:rPr>
        <w:t xml:space="preserve"> №</w:t>
      </w:r>
      <w:r w:rsidR="0039145D">
        <w:rPr>
          <w:sz w:val="28"/>
          <w:szCs w:val="28"/>
        </w:rPr>
        <w:t>175</w:t>
      </w:r>
    </w:p>
    <w:p w:rsidR="007E3CD4" w:rsidRDefault="007E3CD4" w:rsidP="007E3CD4">
      <w:pPr>
        <w:spacing w:before="120"/>
        <w:jc w:val="center"/>
        <w:rPr>
          <w:b/>
          <w:bCs/>
        </w:rPr>
      </w:pPr>
      <w:r>
        <w:rPr>
          <w:b/>
        </w:rPr>
        <w:t>Программа муниципальных гарантий Троснянского района на 201</w:t>
      </w:r>
      <w:r w:rsidR="009E2C1D">
        <w:rPr>
          <w:b/>
        </w:rPr>
        <w:t>4</w:t>
      </w:r>
      <w:r>
        <w:rPr>
          <w:b/>
        </w:rPr>
        <w:t>-201</w:t>
      </w:r>
      <w:r w:rsidR="009E2C1D">
        <w:rPr>
          <w:b/>
        </w:rPr>
        <w:t>5</w:t>
      </w:r>
      <w:r>
        <w:rPr>
          <w:b/>
        </w:rPr>
        <w:t xml:space="preserve"> годы</w:t>
      </w:r>
    </w:p>
    <w:p w:rsidR="007E3CD4" w:rsidRDefault="007E3CD4" w:rsidP="007E3CD4">
      <w:pPr>
        <w:spacing w:before="120"/>
        <w:ind w:firstLine="567"/>
        <w:rPr>
          <w:b/>
        </w:rPr>
      </w:pPr>
      <w:r>
        <w:rPr>
          <w:b/>
        </w:rPr>
        <w:t>1.1. Перечень подлежащих предоставлению муниципальных гарантий  Троснянского района в 201</w:t>
      </w:r>
      <w:r w:rsidR="009E2C1D">
        <w:rPr>
          <w:b/>
        </w:rPr>
        <w:t>4</w:t>
      </w:r>
      <w:r>
        <w:rPr>
          <w:b/>
        </w:rPr>
        <w:t>-201</w:t>
      </w:r>
      <w:r w:rsidR="009E2C1D">
        <w:rPr>
          <w:b/>
        </w:rPr>
        <w:t>5</w:t>
      </w:r>
      <w:r>
        <w:rPr>
          <w:b/>
        </w:rPr>
        <w:t xml:space="preserve"> годах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81"/>
        <w:gridCol w:w="2346"/>
        <w:gridCol w:w="1497"/>
        <w:gridCol w:w="1309"/>
        <w:gridCol w:w="1309"/>
        <w:gridCol w:w="1496"/>
        <w:gridCol w:w="6936"/>
      </w:tblGrid>
      <w:tr w:rsidR="007E3C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№</w:t>
            </w:r>
          </w:p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6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pacing w:val="-6"/>
                <w:sz w:val="18"/>
                <w:szCs w:val="18"/>
              </w:rPr>
              <w:t>/</w:t>
            </w:r>
            <w:proofErr w:type="spellStart"/>
            <w:r>
              <w:rPr>
                <w:spacing w:val="-6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Цель гарантир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вания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Наименование принцип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ла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Сумма гарант</w:t>
            </w:r>
            <w:r>
              <w:rPr>
                <w:spacing w:val="-6"/>
                <w:sz w:val="18"/>
                <w:szCs w:val="18"/>
              </w:rPr>
              <w:t>и</w:t>
            </w:r>
            <w:r>
              <w:rPr>
                <w:spacing w:val="-6"/>
                <w:sz w:val="18"/>
                <w:szCs w:val="18"/>
              </w:rPr>
              <w:t>рования на 201</w:t>
            </w:r>
            <w:r w:rsidR="002B146D">
              <w:rPr>
                <w:spacing w:val="-6"/>
                <w:sz w:val="18"/>
                <w:szCs w:val="18"/>
              </w:rPr>
              <w:t>4</w:t>
            </w:r>
            <w:r>
              <w:rPr>
                <w:spacing w:val="-6"/>
                <w:sz w:val="18"/>
                <w:szCs w:val="18"/>
              </w:rPr>
              <w:t>-201</w:t>
            </w:r>
            <w:r w:rsidR="002B146D">
              <w:rPr>
                <w:spacing w:val="-6"/>
                <w:sz w:val="18"/>
                <w:szCs w:val="18"/>
              </w:rPr>
              <w:t>5</w:t>
            </w:r>
            <w:r>
              <w:rPr>
                <w:spacing w:val="-6"/>
                <w:sz w:val="18"/>
                <w:szCs w:val="18"/>
              </w:rPr>
              <w:t xml:space="preserve"> годы, тыс. ру</w:t>
            </w:r>
            <w:r>
              <w:rPr>
                <w:spacing w:val="-6"/>
                <w:sz w:val="18"/>
                <w:szCs w:val="18"/>
              </w:rPr>
              <w:t>б</w:t>
            </w:r>
            <w:r>
              <w:rPr>
                <w:spacing w:val="-6"/>
                <w:sz w:val="18"/>
                <w:szCs w:val="18"/>
              </w:rPr>
              <w:t>лей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Наличие права регрессного требов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ния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Проверка финанс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вого состояния при</w:t>
            </w:r>
            <w:r>
              <w:rPr>
                <w:spacing w:val="-6"/>
                <w:sz w:val="18"/>
                <w:szCs w:val="18"/>
              </w:rPr>
              <w:t>н</w:t>
            </w:r>
            <w:r>
              <w:rPr>
                <w:spacing w:val="-6"/>
                <w:sz w:val="18"/>
                <w:szCs w:val="18"/>
              </w:rPr>
              <w:t>ципала</w:t>
            </w:r>
          </w:p>
        </w:tc>
        <w:tc>
          <w:tcPr>
            <w:tcW w:w="6936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Иные условия предоставления  муниципальных гарантий</w:t>
            </w:r>
          </w:p>
        </w:tc>
      </w:tr>
      <w:tr w:rsidR="007E3CD4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E3CD4" w:rsidRDefault="007E3CD4" w:rsidP="007E3CD4">
            <w:pPr>
              <w:widowControl w:val="0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:rsidR="007E3CD4" w:rsidRDefault="007E3CD4" w:rsidP="007E3CD4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По кредитам, привлекаемым отобранными в порядке, уст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новленном администрацией района, организациями на ос</w:t>
            </w:r>
            <w:r>
              <w:rPr>
                <w:spacing w:val="-6"/>
                <w:sz w:val="18"/>
                <w:szCs w:val="18"/>
              </w:rPr>
              <w:t>у</w:t>
            </w:r>
            <w:r>
              <w:rPr>
                <w:spacing w:val="-6"/>
                <w:sz w:val="18"/>
                <w:szCs w:val="18"/>
              </w:rPr>
              <w:t>ществление основной прои</w:t>
            </w:r>
            <w:r>
              <w:rPr>
                <w:spacing w:val="-6"/>
                <w:sz w:val="18"/>
                <w:szCs w:val="18"/>
              </w:rPr>
              <w:t>з</w:t>
            </w:r>
            <w:r>
              <w:rPr>
                <w:spacing w:val="-6"/>
                <w:sz w:val="18"/>
                <w:szCs w:val="18"/>
              </w:rPr>
              <w:t>водственной деятельн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сти и капитальные вл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жения</w:t>
            </w:r>
          </w:p>
        </w:tc>
        <w:tc>
          <w:tcPr>
            <w:tcW w:w="1497" w:type="dxa"/>
            <w:shd w:val="clear" w:color="auto" w:fill="auto"/>
          </w:tcPr>
          <w:p w:rsidR="007E3CD4" w:rsidRDefault="007E3CD4" w:rsidP="007E3CD4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Организации, от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бранные в порядке, установленном  администрацией района</w:t>
            </w:r>
          </w:p>
        </w:tc>
        <w:tc>
          <w:tcPr>
            <w:tcW w:w="1309" w:type="dxa"/>
            <w:shd w:val="clear" w:color="auto" w:fill="auto"/>
          </w:tcPr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500,0</w:t>
            </w:r>
          </w:p>
        </w:tc>
        <w:tc>
          <w:tcPr>
            <w:tcW w:w="1309" w:type="dxa"/>
            <w:shd w:val="clear" w:color="auto" w:fill="auto"/>
          </w:tcPr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есть</w:t>
            </w:r>
          </w:p>
        </w:tc>
        <w:tc>
          <w:tcPr>
            <w:tcW w:w="1496" w:type="dxa"/>
            <w:shd w:val="clear" w:color="auto" w:fill="auto"/>
          </w:tcPr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есть</w:t>
            </w:r>
          </w:p>
        </w:tc>
        <w:tc>
          <w:tcPr>
            <w:tcW w:w="6936" w:type="dxa"/>
            <w:shd w:val="clear" w:color="auto" w:fill="auto"/>
          </w:tcPr>
          <w:p w:rsidR="007E3CD4" w:rsidRDefault="007E3CD4" w:rsidP="007E3CD4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1.Решение о предоставлении муниципальной гарантии Троснянского района утверждае</w:t>
            </w:r>
            <w:r>
              <w:rPr>
                <w:spacing w:val="-6"/>
                <w:sz w:val="18"/>
                <w:szCs w:val="18"/>
              </w:rPr>
              <w:t>т</w:t>
            </w:r>
            <w:r>
              <w:rPr>
                <w:spacing w:val="-6"/>
                <w:sz w:val="18"/>
                <w:szCs w:val="18"/>
              </w:rPr>
              <w:t>ся Троснянским районным Советом народных депут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тов.</w:t>
            </w:r>
          </w:p>
          <w:p w:rsidR="007E3CD4" w:rsidRDefault="007E3CD4" w:rsidP="007E3CD4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2. Муниципальные гарантии Троснянского района предоставляются в обеспечение возвр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та до 90 процентов основного долга по кредитам (в том числе по кредитам в рамках возобновля</w:t>
            </w:r>
            <w:r>
              <w:rPr>
                <w:spacing w:val="-6"/>
                <w:sz w:val="18"/>
                <w:szCs w:val="18"/>
              </w:rPr>
              <w:t>е</w:t>
            </w:r>
            <w:r>
              <w:rPr>
                <w:spacing w:val="-6"/>
                <w:sz w:val="18"/>
                <w:szCs w:val="18"/>
              </w:rPr>
              <w:t>мых кредитных линий), предоставляемым принципалам на осуществление основной производс</w:t>
            </w:r>
            <w:r>
              <w:rPr>
                <w:spacing w:val="-6"/>
                <w:sz w:val="18"/>
                <w:szCs w:val="18"/>
              </w:rPr>
              <w:t>т</w:t>
            </w:r>
            <w:r>
              <w:rPr>
                <w:spacing w:val="-6"/>
                <w:sz w:val="18"/>
                <w:szCs w:val="18"/>
              </w:rPr>
              <w:t>венной деятельности и капитальные вложения. Требование бенефициара об исполнении мун</w:t>
            </w:r>
            <w:r>
              <w:rPr>
                <w:spacing w:val="-6"/>
                <w:sz w:val="18"/>
                <w:szCs w:val="18"/>
              </w:rPr>
              <w:t>и</w:t>
            </w:r>
            <w:r>
              <w:rPr>
                <w:spacing w:val="-6"/>
                <w:sz w:val="18"/>
                <w:szCs w:val="18"/>
              </w:rPr>
              <w:t>ципальной гарантии  Троснянского района подлежит исполнению гарантом в размере, не пр</w:t>
            </w:r>
            <w:r>
              <w:rPr>
                <w:spacing w:val="-6"/>
                <w:sz w:val="18"/>
                <w:szCs w:val="18"/>
              </w:rPr>
              <w:t>е</w:t>
            </w:r>
            <w:r>
              <w:rPr>
                <w:spacing w:val="-6"/>
                <w:sz w:val="18"/>
                <w:szCs w:val="18"/>
              </w:rPr>
              <w:t>вышающем 90 процентов суммы неисполненных обязатель</w:t>
            </w:r>
            <w:proofErr w:type="gramStart"/>
            <w:r>
              <w:rPr>
                <w:spacing w:val="-6"/>
                <w:sz w:val="18"/>
                <w:szCs w:val="18"/>
              </w:rPr>
              <w:t>ств пр</w:t>
            </w:r>
            <w:proofErr w:type="gramEnd"/>
            <w:r>
              <w:rPr>
                <w:spacing w:val="-6"/>
                <w:sz w:val="18"/>
                <w:szCs w:val="18"/>
              </w:rPr>
              <w:t>инципала по возврату осно</w:t>
            </w:r>
            <w:r>
              <w:rPr>
                <w:spacing w:val="-6"/>
                <w:sz w:val="18"/>
                <w:szCs w:val="18"/>
              </w:rPr>
              <w:t>в</w:t>
            </w:r>
            <w:r>
              <w:rPr>
                <w:spacing w:val="-6"/>
                <w:sz w:val="18"/>
                <w:szCs w:val="18"/>
              </w:rPr>
              <w:t>ного долга, оставшихся после полной реализации иного, кроме муниципальной гарантии Тро</w:t>
            </w:r>
            <w:r>
              <w:rPr>
                <w:spacing w:val="-6"/>
                <w:sz w:val="18"/>
                <w:szCs w:val="18"/>
              </w:rPr>
              <w:t>с</w:t>
            </w:r>
            <w:r>
              <w:rPr>
                <w:spacing w:val="-6"/>
                <w:sz w:val="18"/>
                <w:szCs w:val="18"/>
              </w:rPr>
              <w:t>нянского района, обеспечения исполнения обязательств принципала по кред</w:t>
            </w:r>
            <w:r>
              <w:rPr>
                <w:spacing w:val="-6"/>
                <w:sz w:val="18"/>
                <w:szCs w:val="18"/>
              </w:rPr>
              <w:t>и</w:t>
            </w:r>
            <w:r>
              <w:rPr>
                <w:spacing w:val="-6"/>
                <w:sz w:val="18"/>
                <w:szCs w:val="18"/>
              </w:rPr>
              <w:t>ту.</w:t>
            </w:r>
          </w:p>
          <w:p w:rsidR="007E3CD4" w:rsidRDefault="007E3CD4" w:rsidP="007E3CD4">
            <w:pPr>
              <w:widowControl w:val="0"/>
              <w:jc w:val="both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3. Для целей предоставления муниципальных гарантий Троснянского района критерии о</w:t>
            </w:r>
            <w:r>
              <w:rPr>
                <w:spacing w:val="-8"/>
                <w:sz w:val="18"/>
                <w:szCs w:val="18"/>
              </w:rPr>
              <w:t>т</w:t>
            </w:r>
            <w:r>
              <w:rPr>
                <w:spacing w:val="-8"/>
                <w:sz w:val="18"/>
                <w:szCs w:val="18"/>
              </w:rPr>
              <w:t>бора принципалов и перечень отраслей экономики определяются  администрацией района.</w:t>
            </w:r>
          </w:p>
          <w:p w:rsidR="007E3CD4" w:rsidRDefault="007E3CD4" w:rsidP="007E3CD4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4. Троснянский район по муниципальным гарантиям Троснянского района несет субсидиа</w:t>
            </w:r>
            <w:r>
              <w:rPr>
                <w:spacing w:val="-6"/>
                <w:sz w:val="18"/>
                <w:szCs w:val="18"/>
              </w:rPr>
              <w:t>р</w:t>
            </w:r>
            <w:r>
              <w:rPr>
                <w:spacing w:val="-6"/>
                <w:sz w:val="18"/>
                <w:szCs w:val="18"/>
              </w:rPr>
              <w:t>ную ответстве</w:t>
            </w:r>
            <w:r>
              <w:rPr>
                <w:spacing w:val="-6"/>
                <w:sz w:val="18"/>
                <w:szCs w:val="18"/>
              </w:rPr>
              <w:t>н</w:t>
            </w:r>
            <w:r>
              <w:rPr>
                <w:spacing w:val="-6"/>
                <w:sz w:val="18"/>
                <w:szCs w:val="18"/>
              </w:rPr>
              <w:t>ность.</w:t>
            </w:r>
          </w:p>
          <w:p w:rsidR="007E3CD4" w:rsidRDefault="007E3CD4" w:rsidP="007E3CD4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5. Муниципальные гарантии Троснянского района не обеспечивают исполнение обяз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тель</w:t>
            </w:r>
            <w:proofErr w:type="gramStart"/>
            <w:r>
              <w:rPr>
                <w:spacing w:val="-6"/>
                <w:sz w:val="18"/>
                <w:szCs w:val="18"/>
              </w:rPr>
              <w:t>ств пр</w:t>
            </w:r>
            <w:proofErr w:type="gramEnd"/>
            <w:r>
              <w:rPr>
                <w:spacing w:val="-6"/>
                <w:sz w:val="18"/>
                <w:szCs w:val="18"/>
              </w:rPr>
              <w:t>инципала по уплате процентов за пользование кредитом, иных процентов, коми</w:t>
            </w:r>
            <w:r>
              <w:rPr>
                <w:spacing w:val="-6"/>
                <w:sz w:val="18"/>
                <w:szCs w:val="18"/>
              </w:rPr>
              <w:t>с</w:t>
            </w:r>
            <w:r>
              <w:rPr>
                <w:spacing w:val="-6"/>
                <w:sz w:val="18"/>
                <w:szCs w:val="18"/>
              </w:rPr>
              <w:t>сий, а также неустоек (пеней, штрафов) за нарушение обязательств принц</w:t>
            </w:r>
            <w:r>
              <w:rPr>
                <w:spacing w:val="-6"/>
                <w:sz w:val="18"/>
                <w:szCs w:val="18"/>
              </w:rPr>
              <w:t>и</w:t>
            </w:r>
            <w:r>
              <w:rPr>
                <w:spacing w:val="-6"/>
                <w:sz w:val="18"/>
                <w:szCs w:val="18"/>
              </w:rPr>
              <w:t>пала.</w:t>
            </w:r>
          </w:p>
          <w:p w:rsidR="007E3CD4" w:rsidRDefault="007E3CD4" w:rsidP="007E3CD4">
            <w:pPr>
              <w:widowControl w:val="0"/>
              <w:jc w:val="both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 xml:space="preserve">6. </w:t>
            </w:r>
            <w:proofErr w:type="gramStart"/>
            <w:r>
              <w:rPr>
                <w:spacing w:val="-8"/>
                <w:sz w:val="18"/>
                <w:szCs w:val="18"/>
              </w:rPr>
              <w:t>Права требования кредитора по кредитному договору (включая права требования на получение процентов за пользование денежными средствами, начисляемых в соответствии с условиями кр</w:t>
            </w:r>
            <w:r>
              <w:rPr>
                <w:spacing w:val="-8"/>
                <w:sz w:val="18"/>
                <w:szCs w:val="18"/>
              </w:rPr>
              <w:t>е</w:t>
            </w:r>
            <w:r>
              <w:rPr>
                <w:spacing w:val="-8"/>
                <w:sz w:val="18"/>
                <w:szCs w:val="18"/>
              </w:rPr>
              <w:t>дитного договора), а также по иному, кроме муниципальной гарантии  Троснянского района, обеспечению исполнения обязательств принципала по кредитному договору подлежат усту</w:t>
            </w:r>
            <w:r>
              <w:rPr>
                <w:spacing w:val="-8"/>
                <w:sz w:val="18"/>
                <w:szCs w:val="18"/>
              </w:rPr>
              <w:t>п</w:t>
            </w:r>
            <w:r>
              <w:rPr>
                <w:spacing w:val="-8"/>
                <w:sz w:val="18"/>
                <w:szCs w:val="18"/>
              </w:rPr>
              <w:t>ке в пользу  Троснянского района до исполнения  муниципальной гарантии Троснянского района.</w:t>
            </w:r>
            <w:proofErr w:type="gramEnd"/>
          </w:p>
          <w:p w:rsidR="007E3CD4" w:rsidRDefault="007E3CD4" w:rsidP="007E3CD4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7. Срок кредита, в обеспечение которого предоставляется муниципальная гарантия Тросня</w:t>
            </w:r>
            <w:r>
              <w:rPr>
                <w:spacing w:val="-6"/>
                <w:sz w:val="18"/>
                <w:szCs w:val="18"/>
              </w:rPr>
              <w:t>н</w:t>
            </w:r>
            <w:r>
              <w:rPr>
                <w:spacing w:val="-6"/>
                <w:sz w:val="18"/>
                <w:szCs w:val="18"/>
              </w:rPr>
              <w:t>ского района, должен составлять от одного года до трех лет. Срок гарантии определяется исх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дя из установленного кредитным договором срока возврата кредита, увеличенн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го на один или два года в зависимости от вида иного обеспечения по кред</w:t>
            </w:r>
            <w:r>
              <w:rPr>
                <w:spacing w:val="-6"/>
                <w:sz w:val="18"/>
                <w:szCs w:val="18"/>
              </w:rPr>
              <w:t>и</w:t>
            </w:r>
            <w:r>
              <w:rPr>
                <w:spacing w:val="-6"/>
                <w:sz w:val="18"/>
                <w:szCs w:val="18"/>
              </w:rPr>
              <w:t>ту.</w:t>
            </w:r>
          </w:p>
        </w:tc>
      </w:tr>
      <w:tr w:rsidR="007E3C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rPr>
                <w:b/>
                <w:spacing w:val="-6"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rPr>
                <w:b/>
                <w:spacing w:val="-6"/>
                <w:sz w:val="18"/>
                <w:szCs w:val="18"/>
              </w:rPr>
            </w:pPr>
            <w:r>
              <w:rPr>
                <w:b/>
                <w:spacing w:val="-6"/>
                <w:sz w:val="18"/>
                <w:szCs w:val="18"/>
              </w:rPr>
              <w:t>ИТОГО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b/>
                <w:spacing w:val="-6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b/>
                <w:spacing w:val="-6"/>
                <w:sz w:val="18"/>
                <w:szCs w:val="18"/>
                <w:lang w:val="en-US"/>
              </w:rPr>
            </w:pPr>
            <w:r>
              <w:rPr>
                <w:b/>
                <w:spacing w:val="-6"/>
                <w:sz w:val="18"/>
                <w:szCs w:val="18"/>
              </w:rPr>
              <w:t>500,0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b/>
                <w:spacing w:val="-6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b/>
                <w:spacing w:val="-6"/>
                <w:sz w:val="18"/>
                <w:szCs w:val="18"/>
              </w:rPr>
            </w:pPr>
          </w:p>
        </w:tc>
        <w:tc>
          <w:tcPr>
            <w:tcW w:w="6936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b/>
                <w:spacing w:val="-6"/>
                <w:sz w:val="18"/>
                <w:szCs w:val="18"/>
              </w:rPr>
            </w:pPr>
          </w:p>
        </w:tc>
      </w:tr>
    </w:tbl>
    <w:p w:rsidR="007E3CD4" w:rsidRDefault="007E3CD4" w:rsidP="007E3CD4">
      <w:pPr>
        <w:spacing w:before="120"/>
        <w:ind w:firstLine="567"/>
        <w:jc w:val="both"/>
        <w:rPr>
          <w:b/>
        </w:rPr>
      </w:pPr>
      <w:r>
        <w:rPr>
          <w:b/>
        </w:rPr>
        <w:t>1.2. Общий объем бюджетных ассигнований, предусмотренных на исполнение муниципальных гарантий Троснянского района по возможным гарантийным случаям, в 201</w:t>
      </w:r>
      <w:r w:rsidR="002B146D">
        <w:rPr>
          <w:b/>
        </w:rPr>
        <w:t>4</w:t>
      </w:r>
      <w:r w:rsidR="003B241F">
        <w:rPr>
          <w:b/>
        </w:rPr>
        <w:t>-201</w:t>
      </w:r>
      <w:r w:rsidR="002B146D">
        <w:rPr>
          <w:b/>
        </w:rPr>
        <w:t>5</w:t>
      </w:r>
      <w:r w:rsidR="003B241F">
        <w:rPr>
          <w:b/>
        </w:rPr>
        <w:t xml:space="preserve"> годах</w:t>
      </w:r>
    </w:p>
    <w:p w:rsidR="007E3CD4" w:rsidRDefault="007E3CD4" w:rsidP="007E3CD4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6205"/>
        <w:gridCol w:w="9034"/>
      </w:tblGrid>
      <w:tr w:rsidR="007E3CD4">
        <w:trPr>
          <w:cantSplit/>
          <w:jc w:val="center"/>
        </w:trPr>
        <w:tc>
          <w:tcPr>
            <w:tcW w:w="6205" w:type="dxa"/>
            <w:vAlign w:val="center"/>
          </w:tcPr>
          <w:p w:rsidR="007E3CD4" w:rsidRDefault="007E3CD4" w:rsidP="007E3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муниципальных гарантий Троснянского района</w:t>
            </w:r>
          </w:p>
        </w:tc>
        <w:tc>
          <w:tcPr>
            <w:tcW w:w="9034" w:type="dxa"/>
            <w:vAlign w:val="center"/>
          </w:tcPr>
          <w:p w:rsidR="007E3CD4" w:rsidRDefault="007E3CD4" w:rsidP="007E3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бюджетных ассигнований на исполнение гарантий по возможным гарантийным случ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ям</w:t>
            </w:r>
          </w:p>
        </w:tc>
      </w:tr>
      <w:tr w:rsidR="007E3CD4">
        <w:trPr>
          <w:cantSplit/>
          <w:jc w:val="center"/>
        </w:trPr>
        <w:tc>
          <w:tcPr>
            <w:tcW w:w="6205" w:type="dxa"/>
            <w:vAlign w:val="center"/>
          </w:tcPr>
          <w:p w:rsidR="007E3CD4" w:rsidRDefault="007E3CD4" w:rsidP="007E3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источников финансирования дефицита районного бю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жета</w:t>
            </w:r>
          </w:p>
        </w:tc>
        <w:tc>
          <w:tcPr>
            <w:tcW w:w="9034" w:type="dxa"/>
            <w:vAlign w:val="center"/>
          </w:tcPr>
          <w:p w:rsidR="007E3CD4" w:rsidRDefault="007E3CD4" w:rsidP="007E3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E3CD4">
        <w:trPr>
          <w:cantSplit/>
          <w:jc w:val="center"/>
        </w:trPr>
        <w:tc>
          <w:tcPr>
            <w:tcW w:w="6205" w:type="dxa"/>
            <w:vAlign w:val="center"/>
          </w:tcPr>
          <w:p w:rsidR="007E3CD4" w:rsidRDefault="007E3CD4" w:rsidP="007E3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расходов районного бюджета</w:t>
            </w:r>
          </w:p>
        </w:tc>
        <w:tc>
          <w:tcPr>
            <w:tcW w:w="9034" w:type="dxa"/>
            <w:vAlign w:val="center"/>
          </w:tcPr>
          <w:p w:rsidR="007E3CD4" w:rsidRDefault="007E3CD4" w:rsidP="007E3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7E3CD4" w:rsidRDefault="007E3CD4" w:rsidP="007E3CD4">
      <w:pPr>
        <w:sectPr w:rsidR="007E3CD4">
          <w:headerReference w:type="even" r:id="rId6"/>
          <w:headerReference w:type="default" r:id="rId7"/>
          <w:pgSz w:w="16838" w:h="11906" w:orient="landscape" w:code="9"/>
          <w:pgMar w:top="851" w:right="851" w:bottom="851" w:left="851" w:header="567" w:footer="567" w:gutter="0"/>
          <w:pgNumType w:start="1"/>
          <w:cols w:space="708"/>
          <w:titlePg/>
          <w:docGrid w:linePitch="360"/>
        </w:sectPr>
      </w:pPr>
    </w:p>
    <w:p w:rsidR="00F23B60" w:rsidRDefault="00F23B60" w:rsidP="006A5DDE"/>
    <w:sectPr w:rsidR="00F23B60">
      <w:pgSz w:w="11906" w:h="16838" w:code="9"/>
      <w:pgMar w:top="851" w:right="851" w:bottom="851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18" w:rsidRDefault="00A86818">
      <w:r>
        <w:separator/>
      </w:r>
    </w:p>
  </w:endnote>
  <w:endnote w:type="continuationSeparator" w:id="0">
    <w:p w:rsidR="00A86818" w:rsidRDefault="00A86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18" w:rsidRDefault="00A86818">
      <w:r>
        <w:separator/>
      </w:r>
    </w:p>
  </w:footnote>
  <w:footnote w:type="continuationSeparator" w:id="0">
    <w:p w:rsidR="00A86818" w:rsidRDefault="00A86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C0" w:rsidRDefault="00D84FC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4FC0" w:rsidRDefault="00D84FC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C0" w:rsidRDefault="00D84FC0">
    <w:pPr>
      <w:pStyle w:val="a6"/>
      <w:framePr w:wrap="around" w:vAnchor="text" w:hAnchor="margin" w:xAlign="center" w:y="1"/>
      <w:rPr>
        <w:rStyle w:val="a9"/>
        <w:sz w:val="20"/>
        <w:szCs w:val="20"/>
      </w:rPr>
    </w:pPr>
    <w:r>
      <w:rPr>
        <w:rStyle w:val="a9"/>
        <w:sz w:val="20"/>
        <w:szCs w:val="20"/>
      </w:rPr>
      <w:fldChar w:fldCharType="begin"/>
    </w:r>
    <w:r>
      <w:rPr>
        <w:rStyle w:val="a9"/>
        <w:sz w:val="20"/>
        <w:szCs w:val="20"/>
      </w:rPr>
      <w:instrText xml:space="preserve">PAGE  </w:instrText>
    </w:r>
    <w:r>
      <w:rPr>
        <w:rStyle w:val="a9"/>
        <w:sz w:val="20"/>
        <w:szCs w:val="20"/>
      </w:rPr>
      <w:fldChar w:fldCharType="separate"/>
    </w:r>
    <w:r w:rsidR="0039145D">
      <w:rPr>
        <w:rStyle w:val="a9"/>
        <w:noProof/>
        <w:sz w:val="20"/>
        <w:szCs w:val="20"/>
      </w:rPr>
      <w:t>2</w:t>
    </w:r>
    <w:r>
      <w:rPr>
        <w:rStyle w:val="a9"/>
        <w:sz w:val="20"/>
        <w:szCs w:val="20"/>
      </w:rPr>
      <w:fldChar w:fldCharType="end"/>
    </w:r>
  </w:p>
  <w:p w:rsidR="00D84FC0" w:rsidRDefault="00D84FC0">
    <w:pPr>
      <w:pStyle w:val="a6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autoHyphenation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CE4"/>
    <w:rsid w:val="002B146D"/>
    <w:rsid w:val="002C3292"/>
    <w:rsid w:val="002C4154"/>
    <w:rsid w:val="00306CE4"/>
    <w:rsid w:val="0039145D"/>
    <w:rsid w:val="003B241F"/>
    <w:rsid w:val="003B4038"/>
    <w:rsid w:val="0040384A"/>
    <w:rsid w:val="00516867"/>
    <w:rsid w:val="00597FD6"/>
    <w:rsid w:val="005C5161"/>
    <w:rsid w:val="005D48E6"/>
    <w:rsid w:val="00645250"/>
    <w:rsid w:val="006A5DDE"/>
    <w:rsid w:val="0079303F"/>
    <w:rsid w:val="007E3CD4"/>
    <w:rsid w:val="00856602"/>
    <w:rsid w:val="00996E79"/>
    <w:rsid w:val="009E2C1D"/>
    <w:rsid w:val="00A40520"/>
    <w:rsid w:val="00A86818"/>
    <w:rsid w:val="00AC29E8"/>
    <w:rsid w:val="00B975C7"/>
    <w:rsid w:val="00BE44F9"/>
    <w:rsid w:val="00C1131D"/>
    <w:rsid w:val="00C212F0"/>
    <w:rsid w:val="00C46FE0"/>
    <w:rsid w:val="00C86959"/>
    <w:rsid w:val="00D55F4F"/>
    <w:rsid w:val="00D84FC0"/>
    <w:rsid w:val="00DC69B5"/>
    <w:rsid w:val="00DD57D5"/>
    <w:rsid w:val="00DE6B2D"/>
    <w:rsid w:val="00E3345F"/>
    <w:rsid w:val="00E43EBC"/>
    <w:rsid w:val="00E92723"/>
    <w:rsid w:val="00EA7A08"/>
    <w:rsid w:val="00F12354"/>
    <w:rsid w:val="00F23B60"/>
    <w:rsid w:val="00FC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Pr>
      <w:sz w:val="24"/>
      <w:lang w:val="ru-RU" w:eastAsia="ru-RU" w:bidi="ar-SA"/>
    </w:rPr>
  </w:style>
  <w:style w:type="paragraph" w:styleId="a5">
    <w:name w:val="caption"/>
    <w:basedOn w:val="a"/>
    <w:next w:val="a"/>
    <w:qFormat/>
    <w:pPr>
      <w:jc w:val="right"/>
    </w:pPr>
    <w:rPr>
      <w:b/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header"/>
    <w:basedOn w:val="a"/>
    <w:link w:val="a7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Pr>
      <w:sz w:val="24"/>
      <w:szCs w:val="24"/>
      <w:lang w:val="ru-RU" w:eastAsia="ru-RU" w:bidi="ar-SA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semiHidden/>
    <w:rsid w:val="006A5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Губернатором Орловской области</vt:lpstr>
    </vt:vector>
  </TitlesOfParts>
  <Company>Орловский областной Совет народных депутатов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 Орловской области</dc:title>
  <dc:subject/>
  <dc:creator>Матвейчук В.М.</dc:creator>
  <cp:keywords/>
  <dc:description/>
  <cp:lastModifiedBy>Admin</cp:lastModifiedBy>
  <cp:revision>2</cp:revision>
  <cp:lastPrinted>2011-11-11T08:25:00Z</cp:lastPrinted>
  <dcterms:created xsi:type="dcterms:W3CDTF">2012-12-25T11:39:00Z</dcterms:created>
  <dcterms:modified xsi:type="dcterms:W3CDTF">2012-12-25T11:39:00Z</dcterms:modified>
</cp:coreProperties>
</file>