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ТРОСНЯСКОГО РАЙОНА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24  февраля 2011г.      № 38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 Кодексе этики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и служебного поведения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муниципальных служащих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</w:t>
      </w:r>
    </w:p>
    <w:p>
      <w:pPr>
        <w:keepNext w:val="true"/>
        <w:outlineLvl w:val="0"/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060"/>
        </w:tabs>
        <w:rPr>
          <w:b w:val="true"/>
          <w:spacing w:val="6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 федеральными законами от 25 декабря 2008 года № 273-ФЗ « О противодействии коррупции», от 2 марта 2007 года № 25-ФЗ « О муниципальной службе в Российской Федерации», других федеральных законов, содержащих ограничение, запреты и обязанности для муниципальных служащих Российской Федерации и иных нормативных правовых актов Российской Федерации  </w:t>
      </w:r>
      <w:r>
        <w:rPr>
          <w:b w:val="true"/>
          <w:rFonts w:ascii="Arial" w:eastAsia="Arial" w:hAnsi="Arial" w:cs="Arial"/>
          <w:sz w:val="24"/>
        </w:rPr>
        <w:t xml:space="preserve">ПОСТАНОВЛЯЮ: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Кодекс этики и служебного поведения муниципальных служащих Троснянского района (Приложение).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2. Отделу организационной и кадровой работы (Статуева Т.А.), финансовому отделу (Лапочкина Г.П.), отделу сельского хозяйства (Губина А.А.), включать в трудовые договоры (контракты), заключаемые с муниципальными служащими, положений об ответственности за нарушение Кодекса этики и служебного поведения.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3.Рекомендовать главам сельских поселений Троснянского района обеспечить разработку кодексов этики и служебного поведения муниципальных служащих, включать в трудовые договоры (контракты), заключаемые с муниципальными служащими, положений об ответственности за нарушение Кодекса этики и служебного поведения.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4. Контроль за выполнением постановления возложить на заместителя главы администрации района А.И.Насонова.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района                                                                                                В.И.Быков  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СОГЛАСОВАНО: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А.И. Насонов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Л.С. Борисова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Т.А. Статуева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Г.П. Лапочкина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А.А. Губина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Н.Н. Зубкова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Е.Л. Пискарева</w:t>
      </w: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8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/>
        <w:rPr>
          <w:spacing w:val="-6"/>
          <w:rFonts w:ascii="Arial" w:eastAsia="Arial" w:hAnsi="Arial" w:cs="Arial"/>
          <w:sz w:val="24"/>
          <w:color w:val="000000"/>
        </w:rPr>
      </w:pPr>
      <w:r>
        <w:rPr>
          <w:spacing w:val="-6"/>
          <w:rFonts w:ascii="Arial" w:eastAsia="Arial" w:hAnsi="Arial" w:cs="Arial"/>
          <w:sz w:val="24"/>
          <w:color w:val="000000"/>
        </w:rPr>
        <w:t xml:space="preserve">Исполнитель: Минаева И.В.    21-4-01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0"/>
          <w:color w:val="000000"/>
        </w:rPr>
      </w:pPr>
      <w:r>
        <w:rPr>
          <w:b w:val="true"/>
          <w:spacing w:val="-6"/>
          <w:rFonts w:ascii="Arial" w:eastAsia="Arial" w:hAnsi="Arial" w:cs="Arial"/>
          <w:sz w:val="20"/>
          <w:color w:val="000000"/>
        </w:rPr>
        <w:t xml:space="preserve">Приложение  к постановлению администрации 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0"/>
          <w:color w:val="000000"/>
        </w:rPr>
      </w:pPr>
      <w:r>
        <w:rPr>
          <w:b w:val="true"/>
          <w:spacing w:val="-6"/>
          <w:rFonts w:ascii="Arial" w:eastAsia="Arial" w:hAnsi="Arial" w:cs="Arial"/>
          <w:sz w:val="20"/>
          <w:color w:val="000000"/>
        </w:rPr>
        <w:t xml:space="preserve">Троснянского района № _____от ________________2011 г.</w:t>
      </w:r>
    </w:p>
    <w:p>
      <w:pPr>
        <w:jc w:val="righ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0"/>
          <w:color w:val="00000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shd w:fill="ffffff"/>
        <w:rPr>
          <w:b w:val="true"/>
          <w:spacing w:val="-6"/>
          <w:rFonts w:ascii="Arial" w:eastAsia="Arial" w:hAnsi="Arial" w:cs="Arial"/>
          <w:sz w:val="20"/>
          <w:color w:val="00000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Кодекс этики и служебного поведения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муниципальных служащих Троснянского района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I. Общие положения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Кодекс этики и служебного поведения муниципальных служащих (далее - Кодекс) разработан в соответствии с положениями Конституции Российской Федерации,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Кодекс призван повысить эффективность выполнения муниципальными служащими своих должностных обязанностей.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Кодекс служит основой для формирования должной морали в сфере муниципальной службы, уважительного отношения к 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Знание и соблюдение муниципальными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Основные принципы и правила служебного поведения 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муниципальных служащих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Основные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принципы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служебного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поведения муниципальных служащих являются основой поведения граждан Российской Федерации в связи с нахождением их на  муниципальной службе.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Муниципальные служащие, сознавая ответственность перед государством, обществом и гражданами, призваны: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 органов местного самоуправления, так и муниципальных служащих;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осуществлять свою деятельность в пределах полномочий соответствующего  органа местного самоуправления;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е) уведомлять представителя нанимателя (работодателя), органы прокуратуры или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ж)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соблюдать нормы служебной, профессиональной этики и правила делового поведения;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проявлять корректность и внимательность в обращении с гражданами и должностными лицами;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 органа местного самоуправления;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не использовать служебное положение для оказания влияния на деятельность 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соблюдать установленные в  органе местного самоуправления правила публичных выступлений и предоставления служебной информации;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 органа местного самоуправления, а также оказывать содействие в получении достоверной информации в установленном порядке;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Муниципальные служащие обязаны соблюдать Конституцию Российской Федерации, федеральные, конституционные и федеральные законы, иные нормативные правовые акты Российской Федерации.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 полученные муниципальным служащим в связи с протокольными мероприятиями, со служебными командировками и с другими официальными мероприятиями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признаются собственностью  органа местного самоуправления и передаются муниципальным служащим по акту в  орган местного самоуправления, в котором он замещает должность   муниципальной службы, за исключением случаев, установленных законодательством Российской Федерации.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19.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 его подразделении (органе местного самоуправления либо его подразделении) благоприятного для эффективной работы морально психологического климата.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Муниципальный служащий, наделенные организационно-распорядительными полномочиями по отношению другим муниципальным служащим, призван: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принимать меры по предотвращению и урегулированию конфликта интересов;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принимать меры по предупреждению коррупции;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23.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Рекомендательные этические правила служебного поведения муниципальных служащих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24.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 служебном поведении муниципальный служащий воздерживается от: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курения во время служебных совещаний, бесед, иного служебного общения с гражданами.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26.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27.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IV. Ответственность за нарушение положений Кодекса: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28.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Нарушение муниципальным служащим положений Кодекса подлежит моральному осуждению на заседании 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Троснянского района, образуемой в соответствии с Указом Президента Российской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29.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jc w:val="both"/>
        <w:textAlignment w:val="auto"/>
        <w:ind w:firstLine="851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60" w:equalWidth="true"/>
      <w:footnotePr>
        <w:pos w:val="pageBottom"/>
      </w:footnotePr>
      <w:lnNumType w:distance="0"/>
      <w:pgSz w:w="11909" w:h="16834"/>
      <w:pgMar w:left="1701" w:right="710" w:top="1276" w:bottom="709" w:gutter="0" w:header="720" w:footer="720"/>
      <w:titlePg/>
      <w:headerReference w:type="even" r:id="rId3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Tahoma">
    <w:panose1 w:val="020b0604030504040204"/>
    <w:family w:val="swiss"/>
    <w:charset w:val="CC"/>
    <w:pitch w:val="variable"/>
  </w:font>
  <w:font w:name="Times New (W1)">
    <w:altName w:val="Times New Roman"/>
    <w:panose1 w:val="00000000000000000000"/>
    <w:family w:val="roman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  <w:fldSimple w:instr="PAGE"/>
  </w:p>
  <w:p>
    <w:pPr>
      <w:jc w:val="left"/>
      <w:textAlignment w:val="auto"/>
      <w:ind w:left="0" w:right="0" w:start="0" w:end="0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70992546">
    <w:multiLevelType w:val="singleLevel"/>
    <w:tmpl w:val="749adcd0"/>
    <w:lvl w:ilvl="0">
      <w:lvlJc w:val="left"/>
      <w:lvlText w:val="%1."/>
      <w:numFmt w:val="decimal"/>
      <w:start w:val="12"/>
      <w:suff w:val="tab"/>
      <w:rPr>
        <w:rFonts w:ascii="Times New Roman" w:eastAsia="Times New Roman" w:hAnsi="Times New Roman" w:cs="Times New Roman"/>
        <w:sz w:val="24"/>
      </w:rPr>
    </w:lvl>
  </w:abstractNum>
  <w:abstractNum w:abstractNumId="1073746138">
    <w:multiLevelType w:val="singleLevel"/>
    <w:tmpl w:val="53123e8c"/>
    <w:lvl w:ilvl="0">
      <w:lvlJc w:val="left"/>
      <w:lvlText w:val="%1."/>
      <w:numFmt w:val="decimal"/>
      <w:start w:val="3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86081131">
    <w:multiLevelType w:val="singleLevel"/>
    <w:tmpl w:val="d4c050c4"/>
    <w:lvl w:ilvl="0">
      <w:lvlJc w:val="left"/>
      <w:lvlText w:val="%1."/>
      <w:numFmt w:val="decimal"/>
      <w:start w:val="23"/>
      <w:suff w:val="tab"/>
      <w:rPr>
        <w:rFonts w:ascii="Times New Roman" w:eastAsia="Times New Roman" w:hAnsi="Times New Roman" w:cs="Times New Roman"/>
        <w:sz w:val="24"/>
      </w:rPr>
    </w:lvl>
  </w:abstractNum>
  <w:abstractNum w:abstractNumId="1350986171">
    <w:multiLevelType w:val="singleLevel"/>
    <w:tmpl w:val="ce9aa366"/>
    <w:lvl w:ilvl="0">
      <w:lvlJc w:val="left"/>
      <w:lvlText w:val="%1."/>
      <w:numFmt w:val="decimal"/>
      <w:start w:val="23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073746138"/>
  </w:num>
  <w:num w:numId="2">
    <w:abstractNumId w:val="170992546"/>
  </w:num>
  <w:num w:numId="3">
    <w:abstractNumId w:val="1286081131"/>
  </w:num>
  <w:num w:numId="4">
    <w:abstractNumId w:val="1350986171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7</Pages>
  <Words>2337</Words>
  <Characters>13326</Characters>
  <CharactersWithSpaces>15632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 решением президиума Совета при Президенте Российской Федерации по противодействию коррупции от 23 декабря 2010 года (протокол №21)</dc:title>
  <dc:creator>vui</dc:creator>
</cp:coreProperties>
</file>