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E4651A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E4651A" w:rsidRDefault="00E4651A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383B0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0472">
        <w:rPr>
          <w:b/>
          <w:sz w:val="28"/>
          <w:szCs w:val="28"/>
        </w:rPr>
        <w:t>1</w:t>
      </w:r>
      <w:r w:rsidR="006B25DF">
        <w:rPr>
          <w:b/>
          <w:sz w:val="28"/>
          <w:szCs w:val="28"/>
        </w:rPr>
        <w:t xml:space="preserve"> </w:t>
      </w:r>
      <w:r w:rsidR="007A6EF5">
        <w:rPr>
          <w:b/>
          <w:sz w:val="28"/>
          <w:szCs w:val="28"/>
        </w:rPr>
        <w:t xml:space="preserve">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BF33C3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73</w:t>
      </w:r>
    </w:p>
    <w:p w:rsidR="00422986" w:rsidRDefault="004965EB" w:rsidP="00C046F9">
      <w:pPr>
        <w:rPr>
          <w:sz w:val="28"/>
          <w:szCs w:val="28"/>
        </w:rPr>
      </w:pPr>
      <w:r>
        <w:rPr>
          <w:sz w:val="28"/>
          <w:szCs w:val="28"/>
        </w:rPr>
        <w:t xml:space="preserve">       с. Тросна</w:t>
      </w:r>
    </w:p>
    <w:p w:rsidR="004965EB" w:rsidRPr="008E12B8" w:rsidRDefault="004965EB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3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на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5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383B04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383B04">
        <w:rPr>
          <w:sz w:val="28"/>
          <w:szCs w:val="28"/>
        </w:rPr>
        <w:t>двадцатом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6B25D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383B04" w:rsidRDefault="007A6EF5" w:rsidP="00383B04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383B04">
        <w:rPr>
          <w:sz w:val="28"/>
          <w:szCs w:val="28"/>
        </w:rPr>
        <w:t xml:space="preserve">Рассмотрев представленный администрацией Троснянского района прогноз социально-экономического развития Троснянского района на 2023 год, а также  проект решения «О бюджете муниципального Троснянского  района Орловской области на 2023 год и на плановый период 2024-2025 годов», Троснянский районный Совет народных депутатов </w:t>
      </w:r>
      <w:r w:rsidR="00383B04">
        <w:rPr>
          <w:b/>
          <w:sz w:val="28"/>
          <w:szCs w:val="28"/>
        </w:rPr>
        <w:t>РЕШИЛ:</w:t>
      </w:r>
    </w:p>
    <w:p w:rsidR="00383B04" w:rsidRDefault="00383B04" w:rsidP="00383B04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2023 год.</w:t>
      </w:r>
      <w:r>
        <w:rPr>
          <w:b/>
          <w:sz w:val="28"/>
          <w:szCs w:val="28"/>
        </w:rPr>
        <w:t xml:space="preserve"> </w:t>
      </w:r>
    </w:p>
    <w:p w:rsidR="00383B04" w:rsidRPr="008E12B8" w:rsidRDefault="00383B04" w:rsidP="00383B0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   </w:t>
      </w:r>
    </w:p>
    <w:p w:rsidR="00383B04" w:rsidRDefault="00383B04" w:rsidP="00383B0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1) прогнозируемый общий объем  доходов бюджета муниципального района </w:t>
      </w:r>
      <w:r>
        <w:rPr>
          <w:sz w:val="28"/>
          <w:szCs w:val="28"/>
        </w:rPr>
        <w:t>на 2023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270595,9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2024 год в сумме 228125,7 тыс. рублей, на 2025 год в сумме 210460,2  тыс. рублей;</w:t>
      </w:r>
    </w:p>
    <w:p w:rsidR="00383B04" w:rsidRDefault="00383B04" w:rsidP="00383B0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   бюджета муниципального района</w:t>
      </w:r>
      <w:r>
        <w:rPr>
          <w:sz w:val="28"/>
          <w:szCs w:val="28"/>
        </w:rPr>
        <w:t xml:space="preserve"> на 2023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270595,9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2024 год в сумме 231005,2 тыс. рублей, в том числе условно утвержденные расходы  2879,5 тыс. рублей; на 2025 год в сумме 215690,6 тыс. рублей, в том числе условно утвержденные 5230,4 тыс. рублей;</w:t>
      </w:r>
    </w:p>
    <w:p w:rsidR="00383B04" w:rsidRPr="008E12B8" w:rsidRDefault="00383B04" w:rsidP="00383B0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верхний предел внутреннего муниципального долга Троснянского  муниципального района на 1 января 2024 года – в сумме 0,0 тыс. рублей, в том числе по муниципальным гарантиям 0,0 тыс. руб. рублей;  на 1 января 2025 года – в сумме 0,0 тыс. рублей, в том числе по муниципальным </w:t>
      </w:r>
      <w:r>
        <w:rPr>
          <w:sz w:val="28"/>
          <w:szCs w:val="28"/>
        </w:rPr>
        <w:lastRenderedPageBreak/>
        <w:t>гарантиям 0,0 тыс. рублей ;</w:t>
      </w:r>
      <w:r w:rsidRP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на 1 января 2026 года – в сумме 0,0 тыс.  рублей, в том числе по муниципальным гарантиям 0,0 тыс. рублей;</w:t>
      </w:r>
    </w:p>
    <w:p w:rsidR="00383B04" w:rsidRPr="008E12B8" w:rsidRDefault="00383B04" w:rsidP="00383B0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4) нормативную величину резервного фонда  администрации района в сумме 400,0 тыс. рублей</w:t>
      </w:r>
      <w:r w:rsidRPr="008E12B8">
        <w:rPr>
          <w:sz w:val="28"/>
          <w:szCs w:val="28"/>
        </w:rPr>
        <w:t>;</w:t>
      </w:r>
    </w:p>
    <w:p w:rsidR="00383B04" w:rsidRDefault="00383B04" w:rsidP="00383B0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) </w:t>
      </w:r>
      <w:r w:rsidRPr="00B7524E">
        <w:rPr>
          <w:sz w:val="28"/>
          <w:szCs w:val="28"/>
        </w:rPr>
        <w:t>прогнозируемый дефицит бюджета муниципального района на 202</w:t>
      </w:r>
      <w:r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0,0</w:t>
      </w:r>
      <w:r w:rsidRPr="00B7524E">
        <w:rPr>
          <w:sz w:val="28"/>
          <w:szCs w:val="28"/>
        </w:rPr>
        <w:t xml:space="preserve"> тыс. рублей, дефицит бюджета на 202</w:t>
      </w:r>
      <w:r>
        <w:rPr>
          <w:sz w:val="28"/>
          <w:szCs w:val="28"/>
        </w:rPr>
        <w:t>4</w:t>
      </w:r>
      <w:r w:rsidRPr="00B7524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2879,5</w:t>
      </w:r>
      <w:r w:rsidRPr="00B7524E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год</w:t>
      </w:r>
      <w:r w:rsidRPr="006F2F00">
        <w:rPr>
          <w:sz w:val="28"/>
          <w:szCs w:val="28"/>
        </w:rPr>
        <w:t xml:space="preserve"> дефицит бюджета – </w:t>
      </w:r>
      <w:r>
        <w:rPr>
          <w:sz w:val="28"/>
          <w:szCs w:val="28"/>
        </w:rPr>
        <w:t>5230,4</w:t>
      </w:r>
      <w:r w:rsidRPr="006F2F00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с</w:t>
      </w:r>
      <w:r w:rsidRPr="00397877">
        <w:rPr>
          <w:sz w:val="28"/>
          <w:szCs w:val="28"/>
        </w:rPr>
        <w:t>оответствии с приложением 1 к настоящему решению;</w:t>
      </w:r>
      <w:r w:rsidRPr="008E12B8">
        <w:rPr>
          <w:sz w:val="28"/>
          <w:szCs w:val="28"/>
        </w:rPr>
        <w:t xml:space="preserve">                </w:t>
      </w:r>
    </w:p>
    <w:p w:rsidR="00383B04" w:rsidRPr="008E12B8" w:rsidRDefault="00383B04" w:rsidP="00383B0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383B04" w:rsidRPr="008E12B8" w:rsidRDefault="00383B04" w:rsidP="00383B04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1) нормативы распределения отдельных налоговых и неналоговых  доходов между  бюджетом муниципального района и бюджетами сельских поселений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24</w:t>
      </w:r>
      <w:r w:rsidRPr="008E12B8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8E12B8">
        <w:rPr>
          <w:sz w:val="28"/>
          <w:szCs w:val="28"/>
        </w:rPr>
        <w:t xml:space="preserve"> годов, не установленные бюджетным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- согласно приложению </w:t>
      </w:r>
      <w:r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383B04" w:rsidRPr="008E12B8" w:rsidRDefault="00383B04" w:rsidP="00383B04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>
        <w:rPr>
          <w:sz w:val="28"/>
          <w:szCs w:val="28"/>
        </w:rPr>
        <w:t xml:space="preserve"> на 2023 год и на плановый период 2024 и 2025 годов согласно приложению 3 к настоящему решению;</w:t>
      </w:r>
    </w:p>
    <w:p w:rsidR="00383B04" w:rsidRDefault="00383B04" w:rsidP="00383B04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>. Утвердить  прогнозируемое поступление доходов  в бюджет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и плановый период 2024 и 2025 годов 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2023 год - в сумме 179154,0 тыс. рублей, на 2024 год в сумме – 134338,0 тыс. рублей, на 2025 год в сумме – 114028,0 тыс. рублей».</w:t>
      </w:r>
    </w:p>
    <w:p w:rsidR="00383B04" w:rsidRPr="008E12B8" w:rsidRDefault="00383B04" w:rsidP="00383B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 Утвердить общий объем бюджетных ассигнований на исполнение публичных нормативных обязательств на 2023 год в сумме 2215,0 тыс. рублей, на 2024 год- 2243,0 тыс. рублей и на 2025 год – 2155,0 тыс. рублей. </w:t>
      </w:r>
    </w:p>
    <w:p w:rsidR="00383B04" w:rsidRPr="008E12B8" w:rsidRDefault="00383B04" w:rsidP="00383B04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подразделам  классификации расходов бюджета</w:t>
      </w:r>
      <w:r>
        <w:rPr>
          <w:sz w:val="28"/>
          <w:szCs w:val="28"/>
        </w:rPr>
        <w:t xml:space="preserve"> муниципального района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и на плановый период 2024 и 2025 годов - </w:t>
      </w:r>
      <w:r w:rsidRPr="008E12B8">
        <w:rPr>
          <w:color w:val="000000"/>
          <w:sz w:val="28"/>
          <w:szCs w:val="28"/>
        </w:rPr>
        <w:t xml:space="preserve">согласно  приложению  </w:t>
      </w:r>
      <w:r>
        <w:rPr>
          <w:color w:val="000000"/>
          <w:sz w:val="28"/>
          <w:szCs w:val="28"/>
        </w:rPr>
        <w:t>8</w:t>
      </w:r>
      <w:r w:rsidRPr="008E12B8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.</w:t>
      </w:r>
      <w:r w:rsidRPr="008E12B8">
        <w:rPr>
          <w:color w:val="000000"/>
          <w:sz w:val="28"/>
          <w:szCs w:val="28"/>
        </w:rPr>
        <w:t xml:space="preserve"> </w:t>
      </w:r>
    </w:p>
    <w:p w:rsidR="00383B04" w:rsidRPr="008E12B8" w:rsidRDefault="00383B04" w:rsidP="00383B04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23 год и плановый период 2024 и 2025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9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383B04" w:rsidRPr="008E12B8" w:rsidRDefault="00383B04" w:rsidP="00383B04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бюджета муниципального района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23 год и плановый период 2024 и 2025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383B04" w:rsidRDefault="00383B04" w:rsidP="00383B0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Pr="00E24744">
        <w:rPr>
          <w:b w:val="0"/>
          <w:i w:val="0"/>
          <w:sz w:val="28"/>
          <w:szCs w:val="28"/>
        </w:rPr>
        <w:t>ердить</w:t>
      </w:r>
      <w:r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 на 2023 год и плановый период 2024 и 2025 годов – согласно приложению 11 к настоящему решению.</w:t>
      </w:r>
    </w:p>
    <w:p w:rsidR="00383B04" w:rsidRDefault="00383B04" w:rsidP="00383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2023 год – в сумме 18396,4 тыс. рублей, на 2024 год – в сумме 19034,2 тыс. рублей, на 2025 год – в сумме 19626,7 тыс. рублей. </w:t>
      </w:r>
    </w:p>
    <w:p w:rsidR="00383B04" w:rsidRDefault="00383B04" w:rsidP="00383B04">
      <w:pPr>
        <w:pStyle w:val="3"/>
        <w:ind w:firstLine="720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 на 20</w:t>
      </w:r>
      <w:r>
        <w:rPr>
          <w:b w:val="0"/>
          <w:i w:val="0"/>
          <w:sz w:val="28"/>
          <w:szCs w:val="28"/>
        </w:rPr>
        <w:t>23</w:t>
      </w:r>
      <w:r w:rsidRPr="007B0382">
        <w:rPr>
          <w:b w:val="0"/>
          <w:i w:val="0"/>
          <w:sz w:val="28"/>
          <w:szCs w:val="28"/>
        </w:rPr>
        <w:t xml:space="preserve"> год и плановый период 20</w:t>
      </w:r>
      <w:r>
        <w:rPr>
          <w:b w:val="0"/>
          <w:i w:val="0"/>
          <w:sz w:val="28"/>
          <w:szCs w:val="28"/>
        </w:rPr>
        <w:t>24</w:t>
      </w:r>
      <w:r w:rsidRPr="007B0382">
        <w:rPr>
          <w:b w:val="0"/>
          <w:i w:val="0"/>
          <w:sz w:val="28"/>
          <w:szCs w:val="28"/>
        </w:rPr>
        <w:t xml:space="preserve"> и 202</w:t>
      </w:r>
      <w:r>
        <w:rPr>
          <w:b w:val="0"/>
          <w:i w:val="0"/>
          <w:sz w:val="28"/>
          <w:szCs w:val="28"/>
        </w:rPr>
        <w:t>5</w:t>
      </w:r>
      <w:r w:rsidRPr="007B0382">
        <w:rPr>
          <w:b w:val="0"/>
          <w:i w:val="0"/>
          <w:sz w:val="28"/>
          <w:szCs w:val="28"/>
        </w:rPr>
        <w:t xml:space="preserve"> годов </w:t>
      </w:r>
      <w:r>
        <w:rPr>
          <w:b w:val="0"/>
          <w:i w:val="0"/>
          <w:sz w:val="28"/>
          <w:szCs w:val="28"/>
        </w:rPr>
        <w:t>утвердить</w:t>
      </w:r>
      <w:r w:rsidRPr="007B0382">
        <w:rPr>
          <w:b w:val="0"/>
          <w:i w:val="0"/>
          <w:sz w:val="28"/>
          <w:szCs w:val="28"/>
        </w:rPr>
        <w:t xml:space="preserve"> согласно приложению 1</w:t>
      </w:r>
      <w:r>
        <w:rPr>
          <w:b w:val="0"/>
          <w:i w:val="0"/>
          <w:sz w:val="28"/>
          <w:szCs w:val="28"/>
        </w:rPr>
        <w:t>2</w:t>
      </w:r>
      <w:r w:rsidRPr="007B0382">
        <w:rPr>
          <w:b w:val="0"/>
          <w:i w:val="0"/>
          <w:sz w:val="28"/>
          <w:szCs w:val="28"/>
        </w:rPr>
        <w:t xml:space="preserve"> к настоящему решению.</w:t>
      </w:r>
      <w:r w:rsidRPr="00C94565">
        <w:rPr>
          <w:sz w:val="28"/>
          <w:szCs w:val="28"/>
        </w:rPr>
        <w:t xml:space="preserve"> </w:t>
      </w:r>
    </w:p>
    <w:p w:rsidR="00383B04" w:rsidRDefault="00383B04" w:rsidP="00383B0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7. Утвердить общий объем средств резервного фонда администрации Троснянского района в сумме 400,0 тыс. рублей.</w:t>
      </w:r>
    </w:p>
    <w:p w:rsidR="00383B04" w:rsidRPr="00F825E0" w:rsidRDefault="00383B04" w:rsidP="00383B0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8. Субсидии юридическим лицам независимо от организационно-правовой формы, индивидуальным предпринимателям и физическим лицам-производителям товаров ( 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Троснянского района.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>
        <w:rPr>
          <w:color w:val="000000"/>
          <w:sz w:val="28"/>
          <w:szCs w:val="28"/>
        </w:rPr>
        <w:t xml:space="preserve"> полномочий </w:t>
      </w:r>
      <w:r w:rsidRPr="008E12B8">
        <w:rPr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: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>
        <w:rPr>
          <w:color w:val="000000"/>
          <w:sz w:val="28"/>
          <w:szCs w:val="28"/>
        </w:rPr>
        <w:t xml:space="preserve"> и работников, замещающих должности в муниципальных органах Троснянского района, не являющиеся должностями муниципальной службы Троснянского района, в случае, если это приведет к нарушению ограничений, установленных статьей 136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</w:t>
      </w:r>
      <w:r w:rsidRPr="008E12B8">
        <w:rPr>
          <w:color w:val="000000"/>
          <w:sz w:val="28"/>
          <w:szCs w:val="28"/>
        </w:rPr>
        <w:lastRenderedPageBreak/>
        <w:t>бюджета муниципального района и с учетом принятых и неисполненных обязательств;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>
        <w:rPr>
          <w:color w:val="000000"/>
          <w:sz w:val="28"/>
          <w:szCs w:val="28"/>
        </w:rPr>
        <w:t>.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83B04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</w:t>
      </w:r>
      <w:r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 </w:t>
      </w:r>
      <w:r w:rsidRPr="008E12B8">
        <w:rPr>
          <w:sz w:val="28"/>
          <w:szCs w:val="28"/>
        </w:rPr>
        <w:t xml:space="preserve">о приобретении </w:t>
      </w:r>
      <w:r>
        <w:rPr>
          <w:sz w:val="28"/>
          <w:szCs w:val="28"/>
        </w:rPr>
        <w:t xml:space="preserve">         </w:t>
      </w:r>
      <w:r w:rsidRPr="008E12B8">
        <w:rPr>
          <w:sz w:val="28"/>
          <w:szCs w:val="28"/>
        </w:rPr>
        <w:t>ави</w:t>
      </w:r>
      <w:r>
        <w:rPr>
          <w:sz w:val="28"/>
          <w:szCs w:val="28"/>
        </w:rPr>
        <w:t xml:space="preserve">а </w:t>
      </w:r>
      <w:r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>
        <w:rPr>
          <w:sz w:val="28"/>
          <w:szCs w:val="28"/>
        </w:rPr>
        <w:t xml:space="preserve"> на санаторно- куротное лечение, по договорам обязательного страхования гражданской ответственности владельцев транспортных средств, о приобретении путевок </w:t>
      </w:r>
      <w:r w:rsidRPr="008E12B8">
        <w:rPr>
          <w:sz w:val="28"/>
          <w:szCs w:val="28"/>
        </w:rPr>
        <w:t xml:space="preserve"> для оздоровления и отдыха детей</w:t>
      </w:r>
      <w:r>
        <w:rPr>
          <w:sz w:val="28"/>
          <w:szCs w:val="28"/>
        </w:rPr>
        <w:t>, о предоставлении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Pr="008E12B8">
        <w:rPr>
          <w:sz w:val="28"/>
          <w:szCs w:val="28"/>
        </w:rPr>
        <w:t>;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Троснянского района-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области;</w:t>
      </w:r>
    </w:p>
    <w:p w:rsidR="00383B04" w:rsidRPr="008E12B8" w:rsidRDefault="00383B04" w:rsidP="00383B0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) </w:t>
      </w:r>
      <w:r>
        <w:rPr>
          <w:sz w:val="28"/>
          <w:szCs w:val="28"/>
        </w:rPr>
        <w:t>по</w:t>
      </w:r>
      <w:r w:rsidRPr="008E12B8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м</w:t>
      </w:r>
      <w:r w:rsidRPr="008E12B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муниципального </w:t>
      </w:r>
      <w:r w:rsidRPr="008E12B8">
        <w:rPr>
          <w:sz w:val="28"/>
          <w:szCs w:val="28"/>
        </w:rPr>
        <w:t>контракта),</w:t>
      </w:r>
      <w:r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 </w:t>
      </w:r>
      <w:r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>
        <w:rPr>
          <w:sz w:val="28"/>
          <w:szCs w:val="28"/>
        </w:rPr>
        <w:t xml:space="preserve"> и Орловской области</w:t>
      </w:r>
      <w:r w:rsidRPr="008E12B8">
        <w:rPr>
          <w:sz w:val="28"/>
          <w:szCs w:val="28"/>
        </w:rPr>
        <w:t xml:space="preserve">, </w:t>
      </w:r>
    </w:p>
    <w:p w:rsidR="00383B04" w:rsidRPr="008E12B8" w:rsidRDefault="00383B04" w:rsidP="00383B04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2024 и 2025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>
        <w:rPr>
          <w:sz w:val="28"/>
          <w:szCs w:val="28"/>
        </w:rPr>
        <w:t xml:space="preserve"> 6500080080 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</w:t>
      </w:r>
      <w:r w:rsidRPr="008E12B8">
        <w:rPr>
          <w:sz w:val="28"/>
          <w:szCs w:val="28"/>
        </w:rPr>
        <w:lastRenderedPageBreak/>
        <w:t xml:space="preserve">расходов устанавливается соответствующим органом </w:t>
      </w:r>
      <w:r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E12B8">
        <w:rPr>
          <w:color w:val="000000"/>
          <w:sz w:val="28"/>
          <w:szCs w:val="28"/>
        </w:rPr>
        <w:t xml:space="preserve">.Установить, в соответствии с </w:t>
      </w:r>
      <w:r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Pr="008E12B8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дополнительные </w:t>
      </w:r>
      <w:r w:rsidRPr="008E12B8">
        <w:rPr>
          <w:color w:val="000000"/>
          <w:sz w:val="28"/>
          <w:szCs w:val="28"/>
        </w:rPr>
        <w:t xml:space="preserve"> основания для внесения в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и плановом периоде 2024 и 2025 годов </w:t>
      </w:r>
      <w:r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района:</w:t>
      </w:r>
    </w:p>
    <w:p w:rsidR="00383B04" w:rsidRPr="00341D4D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>1) перераспределение бюджетных ассигнований, предусмотренных на реализацию наказов избирателей депутатам Троснянского районного Совета народных депутатов;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перераспределение бюджетных ассигнований Дорожного фонда Троснянского района между целевыми статьями, группами и подгруппами видов расходов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 муниципального района на основании принятых нормативных правовых актов администрации Троснянского района;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12B8">
        <w:rPr>
          <w:sz w:val="28"/>
          <w:szCs w:val="28"/>
        </w:rPr>
        <w:t>) перераспределение бюджетных ассигнований</w:t>
      </w:r>
      <w:r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Pr="008E12B8">
        <w:rPr>
          <w:sz w:val="28"/>
          <w:szCs w:val="28"/>
        </w:rPr>
        <w:t xml:space="preserve"> на реализацию муниципальных программ Троснянского района</w:t>
      </w:r>
      <w:r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случае внесения изменений в постановления</w:t>
      </w:r>
      <w:r>
        <w:rPr>
          <w:sz w:val="28"/>
          <w:szCs w:val="28"/>
        </w:rPr>
        <w:t xml:space="preserve"> правительства Орловской области, </w:t>
      </w:r>
      <w:r w:rsidRPr="008E12B8">
        <w:rPr>
          <w:sz w:val="28"/>
          <w:szCs w:val="28"/>
        </w:rPr>
        <w:t>администрации Троснянского района Орловской области об утверждении</w:t>
      </w:r>
      <w:r>
        <w:rPr>
          <w:sz w:val="28"/>
          <w:szCs w:val="28"/>
        </w:rPr>
        <w:t xml:space="preserve"> государственных программ Орловской области,</w:t>
      </w:r>
      <w:r w:rsidRPr="008E12B8">
        <w:rPr>
          <w:sz w:val="28"/>
          <w:szCs w:val="28"/>
        </w:rPr>
        <w:t xml:space="preserve"> муниципальных программ Троснянского района;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2B8">
        <w:rPr>
          <w:sz w:val="28"/>
          <w:szCs w:val="28"/>
        </w:rPr>
        <w:t>) перераспределение бюджетных ассигнований, предусмотренных настоящим решением, в пределах одной целевой статьи по расходам на обеспечение деятельности органов муниципальной власти Троснянского района, муниципальных органов Троснянского района между группами и подгруппами видов расходов классификации расходов бюджета муниципального района;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решением, реализуемых за счет средств безвозмездных поступлений </w:t>
      </w:r>
      <w:r>
        <w:rPr>
          <w:sz w:val="28"/>
          <w:szCs w:val="28"/>
        </w:rPr>
        <w:t>из областного бюджета и их софинансирование из бюджета муниципального района;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>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труда, пособий, компенсаций и иных социальных выплатах, уплаты налогов и сборов;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актов, судебных постановлений;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 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администрации Троснянского района;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   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2023 году и в плановом периоде 2024 и 2025 годов в сводную бюджетную роспись бюджета муниципального района могут быть внесены изменения без внесения изменений в решение о бюджете на увеличение (уменьшение) бюджетных ассигнований текущего финансового года: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соответствии с абзацем восьмым пункта 3 статьи 217 Бюджетного кодекса Российской Федерации в случае получения уведомления о предоставлении субсидий, субвенций, иных межбюджетных трансфертов 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трансфертов, включая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</w:t>
      </w:r>
      <w:r>
        <w:rPr>
          <w:sz w:val="28"/>
          <w:szCs w:val="28"/>
        </w:rPr>
        <w:lastRenderedPageBreak/>
        <w:t>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Правительства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 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</w:t>
      </w:r>
      <w:r w:rsidR="00980472">
        <w:rPr>
          <w:color w:val="000000"/>
          <w:sz w:val="28"/>
          <w:szCs w:val="28"/>
        </w:rPr>
        <w:t xml:space="preserve"> образовавшейся на 1 </w:t>
      </w:r>
      <w:r w:rsidR="00980472" w:rsidRPr="000526A5">
        <w:rPr>
          <w:color w:val="000000"/>
          <w:sz w:val="28"/>
          <w:szCs w:val="28"/>
        </w:rPr>
        <w:t>января 2023</w:t>
      </w:r>
      <w:r w:rsidRPr="000526A5">
        <w:rPr>
          <w:color w:val="000000"/>
          <w:sz w:val="28"/>
          <w:szCs w:val="28"/>
        </w:rPr>
        <w:t xml:space="preserve"> года, осуществляется</w:t>
      </w:r>
      <w:r>
        <w:rPr>
          <w:color w:val="000000"/>
          <w:sz w:val="28"/>
          <w:szCs w:val="28"/>
        </w:rPr>
        <w:t xml:space="preserve"> в соответствии с порядком, утверждаемым администрацией Троснянского района.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>
        <w:rPr>
          <w:sz w:val="28"/>
          <w:szCs w:val="28"/>
        </w:rPr>
        <w:t xml:space="preserve"> расходных обязательств.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>
        <w:rPr>
          <w:sz w:val="28"/>
          <w:szCs w:val="28"/>
        </w:rPr>
        <w:t>3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>3)</w:t>
      </w:r>
      <w:r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</w:t>
      </w:r>
      <w:r w:rsidRPr="000526A5">
        <w:rPr>
          <w:sz w:val="28"/>
          <w:szCs w:val="28"/>
        </w:rPr>
        <w:t>сумму 50 000,0 тыс. рублей и более</w:t>
      </w:r>
      <w:r w:rsidRPr="00C94565">
        <w:rPr>
          <w:sz w:val="28"/>
          <w:szCs w:val="28"/>
        </w:rPr>
        <w:t xml:space="preserve">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4) субсидии</w:t>
      </w:r>
      <w:r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бюджетным и автономным учреждениям, предоставляемые в соответствии с абзацем вторым пункта 1 статьи 78.1 и </w:t>
      </w:r>
      <w:r w:rsidRPr="00C94565">
        <w:rPr>
          <w:sz w:val="28"/>
          <w:szCs w:val="28"/>
        </w:rPr>
        <w:lastRenderedPageBreak/>
        <w:t xml:space="preserve">статьей 78.2 Бюджетного кодекса Российской Федерации в целях приобретения товаров, работ и услуг, </w:t>
      </w:r>
      <w:r w:rsidRPr="000526A5">
        <w:rPr>
          <w:sz w:val="28"/>
          <w:szCs w:val="28"/>
        </w:rPr>
        <w:t>на сумму 50 000,0 тыс. рублей и</w:t>
      </w:r>
      <w:r w:rsidRPr="00C94565">
        <w:rPr>
          <w:sz w:val="28"/>
          <w:szCs w:val="28"/>
        </w:rPr>
        <w:t xml:space="preserve"> более; </w:t>
      </w:r>
    </w:p>
    <w:p w:rsidR="00383B04" w:rsidRDefault="00383B04" w:rsidP="00383B04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E12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Межбюджетные трансферты бюджетам сельских поселений.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2023 год в сумме  </w:t>
      </w:r>
      <w:r w:rsidR="00EE1BB2">
        <w:rPr>
          <w:color w:val="000000"/>
          <w:sz w:val="28"/>
          <w:szCs w:val="28"/>
        </w:rPr>
        <w:t>7088</w:t>
      </w:r>
      <w:r>
        <w:rPr>
          <w:color w:val="000000"/>
          <w:sz w:val="28"/>
          <w:szCs w:val="28"/>
        </w:rPr>
        <w:t>,6  тыс. рублей, на 2024 год в сумме 6533,6 тыс. рублей, на 2025 год в сумме 6433,6 тыс. рублей.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дотаций на выравнивание бюджетной обеспеченности сельских поселений Троснянского района на 2023 год  в сумме 3563,0 тыс. рублей, на 2024 год в сумме 3563,0 тыс. рублей, на 2025 год в сумме 3563,0 тыс. рублей. </w:t>
      </w:r>
    </w:p>
    <w:p w:rsidR="00383B04" w:rsidRPr="008E12B8" w:rsidRDefault="00383B04" w:rsidP="00383B04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 и плановый период 2024 и 2025 годов  - согласно приложению 13</w:t>
      </w:r>
      <w:r w:rsidRPr="008E12B8">
        <w:rPr>
          <w:color w:val="000000"/>
          <w:sz w:val="28"/>
          <w:szCs w:val="28"/>
        </w:rPr>
        <w:t xml:space="preserve"> к настоящему решению;</w:t>
      </w:r>
    </w:p>
    <w:p w:rsidR="00383B04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иные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2023 год и плановый период 2024 и 2025 годов согласно приложению 14 к настоящему решению.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>
        <w:rPr>
          <w:color w:val="000000"/>
          <w:sz w:val="28"/>
          <w:szCs w:val="28"/>
        </w:rPr>
        <w:t xml:space="preserve">сельским поселениям района 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2024 и 2025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>
        <w:rPr>
          <w:color w:val="000000"/>
          <w:sz w:val="28"/>
          <w:szCs w:val="28"/>
        </w:rPr>
        <w:t>15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383B04" w:rsidRPr="008E12B8" w:rsidRDefault="00383B04" w:rsidP="00383B04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383B04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83B04" w:rsidRPr="003926F5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lastRenderedPageBreak/>
        <w:t>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E12B8">
        <w:rPr>
          <w:sz w:val="28"/>
          <w:szCs w:val="28"/>
        </w:rPr>
        <w:t>для частичного покрытия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Pr="008E12B8">
        <w:rPr>
          <w:sz w:val="28"/>
          <w:szCs w:val="28"/>
        </w:rPr>
        <w:t>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E12B8">
        <w:rPr>
          <w:sz w:val="28"/>
          <w:szCs w:val="28"/>
        </w:rPr>
        <w:t xml:space="preserve"> для покрытия временных кассовых разрывов,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не выходящий за пределы текущего финансового года</w:t>
      </w:r>
      <w:r w:rsidRPr="008E12B8">
        <w:rPr>
          <w:sz w:val="28"/>
          <w:szCs w:val="28"/>
        </w:rPr>
        <w:t>;</w:t>
      </w:r>
    </w:p>
    <w:p w:rsidR="00383B04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>
        <w:rPr>
          <w:sz w:val="28"/>
          <w:szCs w:val="28"/>
        </w:rPr>
        <w:t xml:space="preserve"> на срок до пяти лет</w:t>
      </w:r>
      <w:r w:rsidRPr="008E12B8">
        <w:rPr>
          <w:sz w:val="28"/>
          <w:szCs w:val="28"/>
        </w:rPr>
        <w:t>.</w:t>
      </w:r>
    </w:p>
    <w:p w:rsidR="00383B04" w:rsidRPr="008E12B8" w:rsidRDefault="00383B04" w:rsidP="00383B04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Бюджетные кредиты предоставляются бюджетам сельских поселений на условиях возмездности, если иное не предусмотрено настоящим решением, и возвратности.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>
        <w:rPr>
          <w:snapToGrid w:val="0"/>
          <w:sz w:val="28"/>
          <w:szCs w:val="28"/>
        </w:rPr>
        <w:t xml:space="preserve">, </w:t>
      </w:r>
      <w:r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указанными в абзаце первом настоящего пункта: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>
        <w:rPr>
          <w:snapToGrid w:val="0"/>
          <w:sz w:val="28"/>
          <w:szCs w:val="28"/>
        </w:rPr>
        <w:t xml:space="preserve"> 0,1 процента годовых;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2) для </w:t>
      </w:r>
      <w:r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>
        <w:rPr>
          <w:snapToGrid w:val="0"/>
          <w:sz w:val="28"/>
          <w:szCs w:val="28"/>
        </w:rPr>
        <w:t xml:space="preserve"> 0,1 процента годовых;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383B04" w:rsidRDefault="00383B04" w:rsidP="00383B0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383B04" w:rsidRPr="008E12B8" w:rsidRDefault="00383B04" w:rsidP="00383B04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</w:p>
    <w:p w:rsidR="00383B04" w:rsidRPr="008E12B8" w:rsidRDefault="00383B04" w:rsidP="00383B04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>
        <w:rPr>
          <w:sz w:val="28"/>
          <w:szCs w:val="28"/>
        </w:rPr>
        <w:t>,</w:t>
      </w:r>
      <w:r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Pr="008E12B8">
        <w:rPr>
          <w:snapToGrid w:val="0"/>
          <w:sz w:val="28"/>
          <w:szCs w:val="28"/>
        </w:rPr>
        <w:t>администрацией Троснянского района</w:t>
      </w:r>
      <w:r>
        <w:rPr>
          <w:snapToGrid w:val="0"/>
          <w:sz w:val="28"/>
          <w:szCs w:val="28"/>
        </w:rPr>
        <w:t>.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8E1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Установить верхний предел муниципального долга Троснянского района по муниципальным гарантиям Троснянского района на 1 января 20</w:t>
      </w:r>
      <w:r>
        <w:rPr>
          <w:sz w:val="28"/>
          <w:szCs w:val="28"/>
        </w:rPr>
        <w:t>24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>
        <w:rPr>
          <w:sz w:val="28"/>
          <w:szCs w:val="28"/>
        </w:rPr>
        <w:t>25</w:t>
      </w:r>
      <w:r w:rsidRPr="008E12B8">
        <w:rPr>
          <w:sz w:val="28"/>
          <w:szCs w:val="28"/>
        </w:rPr>
        <w:t xml:space="preserve"> года – в сумме </w:t>
      </w:r>
      <w:r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 на 1 января 20</w:t>
      </w:r>
      <w:r>
        <w:rPr>
          <w:sz w:val="28"/>
          <w:szCs w:val="28"/>
        </w:rPr>
        <w:t>26</w:t>
      </w:r>
      <w:r w:rsidRPr="008E12B8">
        <w:rPr>
          <w:sz w:val="28"/>
          <w:szCs w:val="28"/>
        </w:rPr>
        <w:t xml:space="preserve"> года – в сумме </w:t>
      </w:r>
      <w:r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16</w:t>
      </w:r>
      <w:r w:rsidRPr="008E12B8">
        <w:rPr>
          <w:sz w:val="28"/>
          <w:szCs w:val="28"/>
        </w:rPr>
        <w:t xml:space="preserve"> к настоящему решению;</w:t>
      </w:r>
    </w:p>
    <w:p w:rsidR="00383B04" w:rsidRPr="008E12B8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>
        <w:rPr>
          <w:sz w:val="28"/>
          <w:szCs w:val="28"/>
        </w:rPr>
        <w:t xml:space="preserve">24 </w:t>
      </w:r>
      <w:r w:rsidRPr="008E12B8">
        <w:rPr>
          <w:sz w:val="28"/>
          <w:szCs w:val="28"/>
        </w:rPr>
        <w:t>и 20</w:t>
      </w:r>
      <w:r>
        <w:rPr>
          <w:sz w:val="28"/>
          <w:szCs w:val="28"/>
        </w:rPr>
        <w:t>25</w:t>
      </w:r>
      <w:r w:rsidRPr="008E12B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17</w:t>
      </w:r>
      <w:r w:rsidRPr="008E12B8">
        <w:rPr>
          <w:sz w:val="28"/>
          <w:szCs w:val="28"/>
        </w:rPr>
        <w:t xml:space="preserve"> к настоящему решению.</w:t>
      </w:r>
    </w:p>
    <w:p w:rsidR="00383B04" w:rsidRDefault="00383B04" w:rsidP="00383B04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годов.</w:t>
      </w:r>
      <w:r w:rsidRPr="008E12B8">
        <w:rPr>
          <w:sz w:val="28"/>
          <w:szCs w:val="28"/>
        </w:rPr>
        <w:t xml:space="preserve"> </w:t>
      </w:r>
    </w:p>
    <w:p w:rsidR="00383B04" w:rsidRPr="008E12B8" w:rsidRDefault="00383B04" w:rsidP="00383B0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Pr="008E12B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>
        <w:rPr>
          <w:sz w:val="28"/>
          <w:szCs w:val="28"/>
        </w:rPr>
        <w:t>23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383B04">
      <w:pPr>
        <w:jc w:val="both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</w:t>
      </w:r>
      <w:r w:rsidR="00383B04">
        <w:rPr>
          <w:b/>
          <w:sz w:val="28"/>
          <w:szCs w:val="28"/>
        </w:rPr>
        <w:t xml:space="preserve">      </w:t>
      </w:r>
      <w:r w:rsidRPr="00D065C4">
        <w:rPr>
          <w:b/>
          <w:sz w:val="28"/>
          <w:szCs w:val="28"/>
        </w:rPr>
        <w:t xml:space="preserve">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7043B6">
        <w:rPr>
          <w:b/>
          <w:sz w:val="28"/>
          <w:szCs w:val="28"/>
        </w:rPr>
        <w:t>Г</w:t>
      </w:r>
      <w:r w:rsidRPr="00D065C4">
        <w:rPr>
          <w:b/>
          <w:sz w:val="28"/>
          <w:szCs w:val="28"/>
        </w:rPr>
        <w:t>.</w:t>
      </w:r>
      <w:r w:rsidR="007043B6">
        <w:rPr>
          <w:b/>
          <w:sz w:val="28"/>
          <w:szCs w:val="28"/>
        </w:rPr>
        <w:t xml:space="preserve"> </w:t>
      </w:r>
      <w:r w:rsidR="00FC3C09">
        <w:rPr>
          <w:b/>
          <w:sz w:val="28"/>
          <w:szCs w:val="28"/>
        </w:rPr>
        <w:t>Кисель</w:t>
      </w:r>
      <w:r w:rsidR="007043B6">
        <w:rPr>
          <w:b/>
          <w:sz w:val="28"/>
          <w:szCs w:val="28"/>
        </w:rPr>
        <w:t xml:space="preserve">                            </w:t>
      </w:r>
      <w:r w:rsidRPr="00D065C4">
        <w:rPr>
          <w:b/>
          <w:sz w:val="28"/>
          <w:szCs w:val="28"/>
        </w:rPr>
        <w:t xml:space="preserve">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7043B6">
        <w:rPr>
          <w:b/>
          <w:sz w:val="28"/>
          <w:szCs w:val="28"/>
        </w:rPr>
        <w:t xml:space="preserve"> </w:t>
      </w:r>
      <w:r w:rsidR="000340B4">
        <w:rPr>
          <w:b/>
          <w:sz w:val="28"/>
          <w:szCs w:val="28"/>
        </w:rPr>
        <w:t xml:space="preserve"> Левковский</w:t>
      </w:r>
      <w:r w:rsidRPr="00D065C4">
        <w:rPr>
          <w:b/>
          <w:sz w:val="28"/>
          <w:szCs w:val="28"/>
        </w:rPr>
        <w:t xml:space="preserve">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78" w:rsidRDefault="00641178">
      <w:r>
        <w:separator/>
      </w:r>
    </w:p>
  </w:endnote>
  <w:endnote w:type="continuationSeparator" w:id="1">
    <w:p w:rsidR="00641178" w:rsidRDefault="0064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78" w:rsidRDefault="00641178">
      <w:r>
        <w:separator/>
      </w:r>
    </w:p>
  </w:footnote>
  <w:footnote w:type="continuationSeparator" w:id="1">
    <w:p w:rsidR="00641178" w:rsidRDefault="0064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917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917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F93">
      <w:rPr>
        <w:rStyle w:val="a5"/>
        <w:noProof/>
      </w:rPr>
      <w:t>8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037EE"/>
    <w:rsid w:val="00011160"/>
    <w:rsid w:val="00015B63"/>
    <w:rsid w:val="00020982"/>
    <w:rsid w:val="00024BA6"/>
    <w:rsid w:val="00031AFB"/>
    <w:rsid w:val="000340B4"/>
    <w:rsid w:val="0003579F"/>
    <w:rsid w:val="0004646B"/>
    <w:rsid w:val="00046CEB"/>
    <w:rsid w:val="00047566"/>
    <w:rsid w:val="00051CA6"/>
    <w:rsid w:val="000526A5"/>
    <w:rsid w:val="00060D6D"/>
    <w:rsid w:val="0006321C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D079F"/>
    <w:rsid w:val="000D1C89"/>
    <w:rsid w:val="000D7676"/>
    <w:rsid w:val="000D7ED0"/>
    <w:rsid w:val="000E0CDF"/>
    <w:rsid w:val="000E2088"/>
    <w:rsid w:val="000E3ED5"/>
    <w:rsid w:val="000E409A"/>
    <w:rsid w:val="000F4B6B"/>
    <w:rsid w:val="000F4C6E"/>
    <w:rsid w:val="001023D5"/>
    <w:rsid w:val="00106B15"/>
    <w:rsid w:val="001126A5"/>
    <w:rsid w:val="00113636"/>
    <w:rsid w:val="00113B46"/>
    <w:rsid w:val="00114DF4"/>
    <w:rsid w:val="00116543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A72CB"/>
    <w:rsid w:val="001B1AA0"/>
    <w:rsid w:val="001C02F2"/>
    <w:rsid w:val="001C236C"/>
    <w:rsid w:val="001C24E0"/>
    <w:rsid w:val="001C7171"/>
    <w:rsid w:val="001D1029"/>
    <w:rsid w:val="001D3227"/>
    <w:rsid w:val="001D7DE4"/>
    <w:rsid w:val="001F38EC"/>
    <w:rsid w:val="001F44A1"/>
    <w:rsid w:val="002024AF"/>
    <w:rsid w:val="00202CAF"/>
    <w:rsid w:val="00204771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25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C717D"/>
    <w:rsid w:val="002D0C42"/>
    <w:rsid w:val="002D11DE"/>
    <w:rsid w:val="002D4A2B"/>
    <w:rsid w:val="002D52B2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72EEF"/>
    <w:rsid w:val="00381120"/>
    <w:rsid w:val="00383B04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45183"/>
    <w:rsid w:val="0046113F"/>
    <w:rsid w:val="004629C6"/>
    <w:rsid w:val="004635FD"/>
    <w:rsid w:val="004941F4"/>
    <w:rsid w:val="004965EB"/>
    <w:rsid w:val="004B143B"/>
    <w:rsid w:val="004C4F4F"/>
    <w:rsid w:val="004D384C"/>
    <w:rsid w:val="004D3BB0"/>
    <w:rsid w:val="004D46A1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334A2"/>
    <w:rsid w:val="0054123D"/>
    <w:rsid w:val="00544DA0"/>
    <w:rsid w:val="00553E9F"/>
    <w:rsid w:val="00557A64"/>
    <w:rsid w:val="00572AF8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0886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1178"/>
    <w:rsid w:val="00643100"/>
    <w:rsid w:val="006454CF"/>
    <w:rsid w:val="0065360F"/>
    <w:rsid w:val="00654BAA"/>
    <w:rsid w:val="006554AF"/>
    <w:rsid w:val="00656334"/>
    <w:rsid w:val="00656627"/>
    <w:rsid w:val="00656F6A"/>
    <w:rsid w:val="00670E8C"/>
    <w:rsid w:val="00681632"/>
    <w:rsid w:val="006A3F6E"/>
    <w:rsid w:val="006B0F06"/>
    <w:rsid w:val="006B25DF"/>
    <w:rsid w:val="006B3FFC"/>
    <w:rsid w:val="006C4570"/>
    <w:rsid w:val="006D45F4"/>
    <w:rsid w:val="006D4F3C"/>
    <w:rsid w:val="006D7241"/>
    <w:rsid w:val="006E1351"/>
    <w:rsid w:val="006E4F93"/>
    <w:rsid w:val="006E75C4"/>
    <w:rsid w:val="006F1EFD"/>
    <w:rsid w:val="006F21A2"/>
    <w:rsid w:val="00700D34"/>
    <w:rsid w:val="007043B6"/>
    <w:rsid w:val="007102C0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2EE7"/>
    <w:rsid w:val="007C42F0"/>
    <w:rsid w:val="007C435D"/>
    <w:rsid w:val="007C7CB4"/>
    <w:rsid w:val="007E7D8F"/>
    <w:rsid w:val="00801BAA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36CC8"/>
    <w:rsid w:val="008443C0"/>
    <w:rsid w:val="00844FD6"/>
    <w:rsid w:val="00852542"/>
    <w:rsid w:val="00854E1E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17429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7356"/>
    <w:rsid w:val="00980472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D385A"/>
    <w:rsid w:val="009F05A9"/>
    <w:rsid w:val="009F2C7C"/>
    <w:rsid w:val="009F69FB"/>
    <w:rsid w:val="00A0087C"/>
    <w:rsid w:val="00A00F74"/>
    <w:rsid w:val="00A01838"/>
    <w:rsid w:val="00A02CA5"/>
    <w:rsid w:val="00A116B8"/>
    <w:rsid w:val="00A135E0"/>
    <w:rsid w:val="00A16F1C"/>
    <w:rsid w:val="00A30E9E"/>
    <w:rsid w:val="00A3492A"/>
    <w:rsid w:val="00A36688"/>
    <w:rsid w:val="00A374CD"/>
    <w:rsid w:val="00A41BDF"/>
    <w:rsid w:val="00A42506"/>
    <w:rsid w:val="00A544AE"/>
    <w:rsid w:val="00A547B0"/>
    <w:rsid w:val="00A563BF"/>
    <w:rsid w:val="00A7099C"/>
    <w:rsid w:val="00A7362F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3783A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E1D87"/>
    <w:rsid w:val="00CE1FAE"/>
    <w:rsid w:val="00CE5CC7"/>
    <w:rsid w:val="00CF20D6"/>
    <w:rsid w:val="00CF4018"/>
    <w:rsid w:val="00D00D4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595E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A31"/>
    <w:rsid w:val="00E36FB2"/>
    <w:rsid w:val="00E43428"/>
    <w:rsid w:val="00E437A2"/>
    <w:rsid w:val="00E46449"/>
    <w:rsid w:val="00E4651A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C2B04"/>
    <w:rsid w:val="00EE1BB2"/>
    <w:rsid w:val="00EE3120"/>
    <w:rsid w:val="00EE713D"/>
    <w:rsid w:val="00EF7F69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8280E-1D90-4DD2-803C-9F8D903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24850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11</cp:revision>
  <cp:lastPrinted>2022-12-21T14:09:00Z</cp:lastPrinted>
  <dcterms:created xsi:type="dcterms:W3CDTF">2022-11-29T08:51:00Z</dcterms:created>
  <dcterms:modified xsi:type="dcterms:W3CDTF">2022-12-21T14:10:00Z</dcterms:modified>
</cp:coreProperties>
</file>