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200" w:line="276"/>
        <w:bidi w:val="false"/>
        <w:tabs>
          <w:tab w:val="left" w:pos="7020"/>
        </w:tabs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200" w:line="276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center"/>
        <w:textAlignment w:val="auto"/>
        <w:ind w:left="4680" w:right="0" w:start="4680" w:end="0"/>
        <w:adjustRightInd w:val="true"/>
        <w:spacing w:after="200" w:line="276"/>
        <w:bidi w:val="false"/>
        <w:rPr>
          <w:b w:val="true"/>
          <w:rFonts w:ascii="Times New Roman" w:eastAsia="Times New Roman" w:hAnsi="Times New Roman" w:cs="Times New Roman"/>
          <w:sz w:val="22"/>
        </w:rPr>
      </w:pPr>
    </w:p>
    <w:p>
      <w:pPr>
        <w:jc w:val="center"/>
        <w:textAlignment w:val="auto"/>
        <w:ind w:left="0" w:right="0" w:start="0" w:end="0"/>
        <w:adjustRightInd w:val="true"/>
        <w:spacing w:after="20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20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200" w:line="276"/>
        <w:bidi w:val="false"/>
        <w:pBdr>
          <w:bottom w:sz="12" w:space="1" w:val="single"/>
        </w:pBdr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АДМИНИСТРАЦИЯ ТРОСНЯНСКОГО РАЙОНА</w:t>
      </w: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Times New Roman" w:eastAsia="Times New Roman" w:hAnsi="Times New Roman" w:cs="Times New Roman"/>
          <w:sz w:val="20"/>
          <w:i w:val="true"/>
        </w:rPr>
      </w:pPr>
    </w:p>
    <w:p>
      <w:pPr>
        <w:jc w:val="center"/>
        <w:textAlignment w:val="auto"/>
        <w:ind w:left="0" w:right="0" w:start="0" w:end="0"/>
        <w:adjustRightInd w:val="true"/>
        <w:spacing w:after="20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от  23  сентября  2011 г.                                                                                                                             № 267</w:t>
      </w:r>
    </w:p>
    <w:p>
      <w:pPr>
        <w:jc w:val="left"/>
        <w:textAlignment w:val="auto"/>
        <w:ind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с.Тросна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Об утверждении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Примерного положения об оплате труда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работников муниципальных образовательных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учреждений Троснянского района Орловской области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spacing w:val="40"/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обеспечения социальной поддержки и </w:t>
      </w:r>
      <w:r>
        <w:rPr>
          <w:spacing w:val="-4"/>
          <w:rFonts w:ascii="Times New Roman" w:eastAsia="Times New Roman" w:hAnsi="Times New Roman" w:cs="Times New Roman"/>
          <w:sz w:val="28"/>
        </w:rPr>
        <w:t xml:space="preserve">материального стимулирования работников муниципальных образовательных</w:t>
      </w:r>
      <w:r>
        <w:rPr>
          <w:rFonts w:ascii="Times New Roman" w:eastAsia="Times New Roman" w:hAnsi="Times New Roman" w:cs="Times New Roman"/>
          <w:sz w:val="28"/>
        </w:rPr>
        <w:t xml:space="preserve"> учреждений  Троснянского района Орловской области и на основании постановления Правительства Орловской области от 12 августа 2011 года № 267 «Об утверждении Примерного положения об оплате труда работников государственных образовательных учреждений Орловской области» </w:t>
      </w:r>
      <w:r>
        <w:rPr>
          <w:spacing w:val="40"/>
          <w:rFonts w:ascii="Times New Roman" w:eastAsia="Times New Roman" w:hAnsi="Times New Roman" w:cs="Times New Roman"/>
          <w:sz w:val="28"/>
        </w:rPr>
        <w:t xml:space="preserve">постановляет: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Утвердить  Примерное положение об оплате труда работников муниципальных образовательных учреждений Троснянского района Орловской области. (Приложение).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spacing w:val="-4"/>
          <w:rFonts w:ascii="Times New Roman" w:eastAsia="Times New Roman" w:hAnsi="Times New Roman" w:cs="Times New Roman"/>
          <w:sz w:val="28"/>
        </w:rPr>
        <w:t xml:space="preserve">2.</w:t>
      </w:r>
      <w:r>
        <w:rPr>
          <w:spacing w:val="-4"/>
          <w:rFonts w:ascii="Times New Roman" w:eastAsia="Times New Roman" w:hAnsi="Times New Roman" w:cs="Times New Roman"/>
          <w:sz w:val="28"/>
        </w:rPr>
        <w:t xml:space="preserve"> </w:t>
      </w:r>
      <w:r>
        <w:rPr>
          <w:spacing w:val="-4"/>
          <w:rFonts w:ascii="Times New Roman" w:eastAsia="Times New Roman" w:hAnsi="Times New Roman" w:cs="Times New Roman"/>
          <w:sz w:val="28"/>
        </w:rPr>
        <w:t xml:space="preserve"> Финансовому отделу администрации Троснянского района Орловской области (Г.П.Лапочкина) обеспечи</w:t>
      </w:r>
      <w:r>
        <w:rPr>
          <w:rFonts w:ascii="Times New Roman" w:eastAsia="Times New Roman" w:hAnsi="Times New Roman" w:cs="Times New Roman"/>
          <w:sz w:val="28"/>
        </w:rPr>
        <w:t xml:space="preserve">вать финансирование расходов  по оплате труда работников </w:t>
      </w:r>
      <w:r>
        <w:rPr>
          <w:spacing w:val="-4"/>
          <w:rFonts w:ascii="Times New Roman" w:eastAsia="Times New Roman" w:hAnsi="Times New Roman" w:cs="Times New Roman"/>
          <w:sz w:val="28"/>
        </w:rPr>
        <w:t xml:space="preserve">муниципальных образовательных учреждений Троснянского района Орловской области в пределах</w:t>
      </w:r>
      <w:r>
        <w:rPr>
          <w:rFonts w:ascii="Times New Roman" w:eastAsia="Times New Roman" w:hAnsi="Times New Roman" w:cs="Times New Roman"/>
          <w:sz w:val="28"/>
        </w:rPr>
        <w:t xml:space="preserve"> средств, предусмотренных бюджетом Троснянского района Орловской области на очередной финансовый год и плановый период.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Признать утратившими силу: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-постановление Главы Троснянского района Орловской области от 26 декабря 2008 года № 261 «Об утверждении примерного положения об установлении новой отраслевой системы оплаты труда работников муниципальных общеобразовательных учреждений»;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-постановление Главы Троснянского района Орловской области от 11 марта 2009 года № 47 «Об утверждении примерных положений о базовом общеобразовательном учреждении, Управляющем Совете (Совете Учреждения) образовательного учреждения и методических рекомендаций по формированию и распределению фондов оплаты труда в муниципальных общеобразовательных учреждениях»;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Ввести отраслевую систему оплаты труда для работников муниципальных образовательных учреждений с 1 сентября 2011 года.</w:t>
      </w:r>
    </w:p>
    <w:p>
      <w:pPr>
        <w:jc w:val="both"/>
        <w:textAlignment w:val="auto"/>
        <w:ind w:firstLine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постановления возложить на заместителя  Главы администрации  района Борисову Л.С., заместителя Главы администрации  района Фроловичева А.В.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0" w:line="240"/>
        <w:bidi w:val="false"/>
        <w:tabs>
          <w:tab w:val="left" w:pos="1080"/>
        </w:tabs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hanging="709" w:left="360" w:right="0" w:start="360" w:end="0"/>
        <w:adjustRightInd w:val="true"/>
        <w:spacing w:after="0" w:line="240"/>
        <w:bidi w:val="false"/>
        <w:tabs>
          <w:tab w:val="left" w:pos="1080"/>
        </w:tabs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Глава администрации                                                                    А.И.Насонов</w:t>
      </w: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Готовил</w:t>
      </w:r>
      <w:r>
        <w:rPr>
          <w:b w:val="true"/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Отдел образования администрации Троснянского района</w:t>
      </w:r>
    </w:p>
    <w:p>
      <w:pPr>
        <w:jc w:val="both"/>
        <w:textAlignment w:val="auto"/>
        <w:ind w:left="0" w:right="282" w:start="0" w:end="282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282" w:start="0" w:end="282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 Согласовано</w:t>
      </w:r>
      <w:r>
        <w:rPr>
          <w:rFonts w:ascii="Times New Roman" w:eastAsia="Times New Roman" w:hAnsi="Times New Roman" w:cs="Times New Roman"/>
          <w:sz w:val="28"/>
        </w:rPr>
        <w:t xml:space="preserve">:</w:t>
      </w:r>
    </w:p>
    <w:p>
      <w:pPr>
        <w:jc w:val="both"/>
        <w:textAlignment w:val="auto"/>
        <w:ind w:left="0" w:right="282" w:start="0" w:end="282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Борисова Л.С.</w:t>
      </w:r>
    </w:p>
    <w:p>
      <w:pPr>
        <w:jc w:val="both"/>
        <w:textAlignment w:val="auto"/>
        <w:ind w:left="0" w:right="282" w:start="0" w:end="282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Фроловичев А.В.</w:t>
      </w:r>
    </w:p>
    <w:p>
      <w:pPr>
        <w:jc w:val="both"/>
        <w:textAlignment w:val="auto"/>
        <w:ind w:left="0" w:right="282" w:start="0" w:end="282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Лапочкина Г.П.</w:t>
      </w:r>
    </w:p>
    <w:p>
      <w:pPr>
        <w:jc w:val="both"/>
        <w:textAlignment w:val="auto"/>
        <w:ind w:left="0" w:right="282" w:start="0" w:end="282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Пискарева  Е.Л.</w:t>
      </w:r>
    </w:p>
    <w:p>
      <w:pPr>
        <w:jc w:val="both"/>
        <w:textAlignment w:val="auto"/>
        <w:ind w:left="0" w:right="282" w:start="0" w:end="282"/>
        <w:adjustRightInd w:val="true"/>
        <w:spacing w:after="200" w:line="276"/>
        <w:bidi w:val="false"/>
        <w:rPr>
          <w:rFonts w:ascii="Calibri" w:eastAsia="Calibri" w:hAnsi="Calibri" w:cs="Calibri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Исполнитель Ерохина И.В.</w:t>
      </w: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Calibri" w:eastAsia="Calibri" w:hAnsi="Calibri" w:cs="Calibri"/>
          <w:sz w:val="22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1" w:top="1134" w:bottom="1134" w:gutter="0" w:header="709" w:footer="709"/>
      <w:titlePg/>
      <w:headerReference w:type="default" r:id="rId3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Cambria Math">
    <w:panose1 w:val="020405030504060302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Calibri" w:eastAsia="Calibri" w:hAnsi="Calibri" w:cs="Calibri"/>
        <w:sz w:val="22"/>
      </w:rPr>
    </w:pPr>
    <w:fldSimple w:instr="PAGE   \* MERGEFORMAT">
      <w:r>
        <w:rPr>
          <w:rFonts w:ascii="Times New Roman" w:eastAsia="Times New Roman" w:hAnsi="Times New Roman" w:cs="Times New Roman"/>
          <w:sz w:val="22"/>
        </w:rPr>
        <w:t xml:space="preserve">3</w:t>
      </w:r>
    </w:fldSimple>
  </w:p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Calibri" w:eastAsia="Calibri" w:hAnsi="Calibri" w:cs="Calibri"/>
        <w:sz w:val="22"/>
      </w:rPr>
    </w:pP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381</Words>
  <Characters>2175</Characters>
  <CharactersWithSpaces>2551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ОРЛОВСКОЙ ОБЛАСТИ</dc:title>
  <dc:creator>sai</dc:creator>
</cp:coreProperties>
</file>