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autofit"/>
        <w:tblInd w:w="108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3780"/>
        <w:gridCol w:w="5580"/>
      </w:tblGrid>
      <w:tr>
        <w:tc>
          <w:tcPr>
            <w:tcW w:type="dxa" w:w="3780"/>
            <w:shd w:val="nil"/>
            <w:vAlign w:val="top"/>
            <w:textDirection w:val="lrTb"/>
            <w:gridSpan w:val="1"/>
          </w:tcPr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5580"/>
            <w:shd w:val="nil"/>
            <w:vAlign w:val="top"/>
            <w:textDirection w:val="lrTb"/>
            <w:gridSpan w:val="1"/>
          </w:tcPr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Приложение 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положению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tabs>
                <w:tab w:val="left" w:pos="7020"/>
              </w:tabs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№267 от 23 сентября  2011г.</w:t>
            </w:r>
          </w:p>
          <w:p>
            <w:pPr>
              <w:outlineLvl w:val="0"/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>
      <w:pPr>
        <w:jc w:val="center"/>
        <w:textAlignment w:val="auto"/>
        <w:ind w:left="4536" w:right="0" w:start="4536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4536" w:right="0" w:start="4536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</w:t>
      </w: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установления базовых ставок (должностных окладов) </w:t>
      </w: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другие условия оплаты труда педагогических работников образовательных учреждений, за исключением тренеров-преподавателей образовательных учреждений спортивной направленности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Должностные оклады (тарифные ставки) устанавливаются работникам                                 за выполнение ими трудовых (должностных) обязанностей, обусловленных трудовым договором, за полностью отработанное рабочее время согласно действующему законодательству и правилам внутреннего трудового распорядка учреждения без учета компенсационных и стимулирующих  выплат с учетом повышений, предусмотренных пунктами 11, 12 настоящего Положения.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Тарифная ставка педагогических работников образовательного учреждения, перечень которых представлен в таблице 1, с учетом фактической педагогической нагрузки работника определяется по следующей формуле: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708" w:right="0" w:start="708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Об х Чн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 = ________,  где:</w:t>
      </w:r>
    </w:p>
    <w:p>
      <w:pPr>
        <w:jc w:val="both"/>
        <w:textAlignment w:val="auto"/>
        <w:ind w:firstLine="708" w:left="708" w:right="0" w:start="708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Чс</w:t>
      </w:r>
    </w:p>
    <w:p>
      <w:pPr>
        <w:jc w:val="both"/>
        <w:textAlignment w:val="auto"/>
        <w:ind w:firstLine="708" w:left="708" w:right="0" w:start="708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 – ставка с учетом фактической педагогической нагрузки работника;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– базовая ставка за норму часов педагогической работы в неделю (для  муниципальных общеобразовательных учреждений,реализующих программы начального общего,основного общего,среднего (полного) общего и дополнительного образования –  за норму учебной  нагрузки в год).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Чн – фактическая нагрузка в неделю (для муниципальных общеобразовательных учреждений, реализующих программы начального общего, основного общего, среднего (полного) общего и дополнительного образования – фактическая нагрузка в год);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Чс – норма часов педагогической работы в неделю (для муниципальных общеобразовательных учреждений, реализующих программы начального общего, основного общего, среднего (полного) общего и дополнительного  образования –учебная  нагрузка в год).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1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  <w:r>
        <w:rPr>
          <w:b w:val="false"/>
          <w:rFonts w:ascii="Times New Roman" w:eastAsia="Times New Roman" w:hAnsi="Times New Roman" w:cs="Times New Roman"/>
          <w:sz w:val="28"/>
        </w:rPr>
        <w:t xml:space="preserve">Классификация должностей административного и педагогического персонала образовательного учреждения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tbl>
      <w:tblPr>
        <w:tblLayout w:type="fixed"/>
        <w:tblInd w:w="70" w:type="dxa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340"/>
        <w:gridCol w:w="7020"/>
      </w:tblGrid>
      <w:tr>
        <w:cantSplit w:val="true"/>
        <w:trHeight w:val="240" w:hRule="atLeast"/>
        <w:tc>
          <w:tcPr>
            <w:tcW w:type="dxa" w:w="23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Группа персонала</w:t>
            </w:r>
          </w:p>
        </w:tc>
        <w:tc>
          <w:tcPr>
            <w:tcW w:type="dxa" w:w="70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должностей</w:t>
            </w:r>
          </w:p>
        </w:tc>
      </w:tr>
      <w:tr>
        <w:cantSplit w:val="true"/>
        <w:trHeight w:val="360" w:hRule="atLeast"/>
        <w:tc>
          <w:tcPr>
            <w:tcW w:type="dxa" w:w="23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Административ-ный персонал</w:t>
            </w:r>
          </w:p>
        </w:tc>
        <w:tc>
          <w:tcPr>
            <w:tcW w:type="dxa" w:w="70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Руководитель учреждения образования, заместитель руководителя, главный бухгалтер</w:t>
            </w:r>
          </w:p>
        </w:tc>
      </w:tr>
      <w:tr>
        <w:cantSplit w:val="true"/>
        <w:trHeight w:val="1680" w:hRule="atLeast"/>
        <w:tc>
          <w:tcPr>
            <w:tcW w:type="dxa" w:w="234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Педагогический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персонал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(основной)</w:t>
            </w:r>
          </w:p>
        </w:tc>
        <w:tc>
          <w:tcPr>
            <w:tcW w:type="dxa" w:w="70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both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Учитель, преподаватель (включая старшего), ассистент, учитель-дефектолог, учитель-логопед, логопед, препо-даватель-организатор основ безопасности жизне-деятельности, руководитель физического воспитания, мастер производственного обучения, методист, инструктор-методист (включая старшего), концертмейстер, балетмейстер, хормейстер, хореограф, музыкальный руководитель, воспитатель (включая старшего), социальный педагог, педагог-психолог, педагог-организатор, педагог дополнительного образования, тренер-преподаватель (включая старшего), старший вожатый, инструктор по труду, инструктор по физической культуре, профессор, доцент </w:t>
            </w:r>
          </w:p>
        </w:tc>
      </w:tr>
    </w:tbl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Базовая ставка педагогического работника образовательного учреждения определяется по формуле: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= Б х (Кк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1</w:t>
      </w:r>
      <w:r>
        <w:rPr>
          <w:rFonts w:ascii="Times New Roman" w:eastAsia="Times New Roman" w:hAnsi="Times New Roman" w:cs="Times New Roman"/>
          <w:sz w:val="28"/>
        </w:rPr>
        <w:t xml:space="preserve"> + Кс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1</w:t>
      </w:r>
      <w:r>
        <w:rPr>
          <w:rFonts w:ascii="Times New Roman" w:eastAsia="Times New Roman" w:hAnsi="Times New Roman" w:cs="Times New Roman"/>
          <w:sz w:val="28"/>
        </w:rPr>
        <w:t xml:space="preserve">) х Ксп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1</w:t>
      </w:r>
      <w:r>
        <w:rPr>
          <w:rFonts w:ascii="Times New Roman" w:eastAsia="Times New Roman" w:hAnsi="Times New Roman" w:cs="Times New Roman"/>
          <w:sz w:val="28"/>
        </w:rPr>
        <w:t xml:space="preserve">, где: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– базовая ставка за норму часов педагогической работы в неделю (для муниципальных общеобразовательных учреждений, реализующих программы начального общего, основного общего, среднего (полного) общего и дополнительного образования –за норму учебной нагрузки в год);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 – базовая единица;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Кк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1</w:t>
      </w:r>
      <w:r>
        <w:rPr>
          <w:rFonts w:ascii="Times New Roman" w:eastAsia="Times New Roman" w:hAnsi="Times New Roman" w:cs="Times New Roman"/>
          <w:sz w:val="28"/>
        </w:rPr>
        <w:t xml:space="preserve"> – коэффициент квалификации;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Кс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1</w:t>
      </w:r>
      <w:r>
        <w:rPr>
          <w:rFonts w:ascii="Times New Roman" w:eastAsia="Times New Roman" w:hAnsi="Times New Roman" w:cs="Times New Roman"/>
          <w:sz w:val="28"/>
        </w:rPr>
        <w:t xml:space="preserve"> – коэффициент стажа (применяется только при отсутствии квалификационной категории и в соответствии с порядком определения стажа педагогической работы, установленным органом  специальной компетенции , уполномоченным в сфере );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Ксп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1</w:t>
      </w:r>
      <w:r>
        <w:rPr>
          <w:rFonts w:ascii="Times New Roman" w:eastAsia="Times New Roman" w:hAnsi="Times New Roman" w:cs="Times New Roman"/>
          <w:sz w:val="28"/>
        </w:rPr>
        <w:t xml:space="preserve"> - коэффициент специфики работы (при наличии двух и более оснований общий размер коэффициента специфики работы определяется умножением коэффициентов по имеющимся основаниям).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Значения коэффициентов квалификации, стажа и специфики работы приведены в </w:t>
      </w:r>
      <w:hyperlink r:id="rId2">
        <w:r>
          <w:rPr>
            <w:rFonts w:ascii="Times New Roman" w:eastAsia="Times New Roman" w:hAnsi="Times New Roman" w:cs="Times New Roman"/>
            <w:sz w:val="28"/>
          </w:rPr>
          <w:t xml:space="preserve">таблицах 2</w:t>
        </w:r>
      </w:hyperlink>
      <w:r>
        <w:rPr>
          <w:rFonts w:ascii="Times New Roman" w:eastAsia="Times New Roman" w:hAnsi="Times New Roman" w:cs="Times New Roman"/>
          <w:sz w:val="28"/>
        </w:rPr>
        <w:t xml:space="preserve">, 3, 4.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2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  <w:r>
        <w:rPr>
          <w:b w:val="false"/>
          <w:rFonts w:ascii="Times New Roman" w:eastAsia="Times New Roman" w:hAnsi="Times New Roman" w:cs="Times New Roman"/>
          <w:sz w:val="28"/>
        </w:rPr>
        <w:t xml:space="preserve">Коэффициенты квалификации (Кк</w:t>
      </w:r>
      <w:r>
        <w:rPr>
          <w:b w:val="false"/>
          <w:rFonts w:ascii="Times New Roman" w:eastAsia="Times New Roman" w:hAnsi="Times New Roman" w:cs="Times New Roman"/>
          <w:sz w:val="28"/>
          <w:vertAlign w:val="subscript"/>
        </w:rPr>
        <w:t xml:space="preserve">1</w:t>
      </w:r>
      <w:r>
        <w:rPr>
          <w:b w:val="false"/>
          <w:rFonts w:ascii="Times New Roman" w:eastAsia="Times New Roman" w:hAnsi="Times New Roman" w:cs="Times New Roman"/>
          <w:sz w:val="28"/>
        </w:rPr>
        <w:t xml:space="preserve">)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tbl>
      <w:tblPr>
        <w:tblLayout w:type="fixed"/>
        <w:tblInd w:w="70" w:type="dxa"/>
        <w:tblW w:w="9360" w:type="dxa"/>
        <w:tblCellMar>
          <w:bottom w:w="0" w:type="dxa"/>
          <w:left w:w="70" w:type="dxa"/>
          <w:right w:w="70" w:type="dxa"/>
          <w:top w:w="0" w:type="dxa"/>
        </w:tblCellMar>
        <w:tblBorders>
          <w:left w:sz="6" w:space="0" w:val="single"/>
          <w:right w:sz="6" w:space="0" w:val="single"/>
          <w:top w:sz="6" w:space="0" w:val="single"/>
          <w:bottom w:sz="6" w:space="0" w:val="single"/>
          <w:insideV w:sz="6" w:space="0" w:val="single"/>
          <w:insideH w:sz="6" w:space="0" w:val="single"/>
        </w:tblBorders>
      </w:tblPr>
      <w:tblGrid>
        <w:gridCol w:w="900"/>
        <w:gridCol w:w="1260"/>
        <w:gridCol w:w="1800"/>
        <w:gridCol w:w="2320"/>
        <w:gridCol w:w="1620"/>
        <w:gridCol w:w="1460"/>
      </w:tblGrid>
      <w:tr>
        <w:cantSplit w:val="true"/>
        <w:trHeight w:val="720" w:hRule="atLeast"/>
        <w:tc>
          <w:tcPr>
            <w:tcW w:type="dxa" w:w="9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Груп-пы</w:t>
            </w:r>
          </w:p>
        </w:tc>
        <w:tc>
          <w:tcPr>
            <w:tcW w:type="dxa" w:w="12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Квали-фика-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цион-ная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катего-рия</w:t>
            </w: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Повышаю-щий коэффициент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квалифи-кационную категорию</w:t>
            </w:r>
          </w:p>
        </w:tc>
        <w:tc>
          <w:tcPr>
            <w:tcW w:type="dxa" w:w="23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Уровень образования педагога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-70" w:right="-70" w:start="-70" w:end="-7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Повышаю-щий </w:t>
            </w:r>
            <w:r>
              <w:rPr>
                <w:rFonts w:ascii="Times New Roman" w:eastAsia="Times New Roman" w:hAnsi="Times New Roman" w:cs="Times New Roman"/>
                <w:sz w:val="28"/>
              </w:rPr>
              <w:br w:type="textWrapping" w:clear="none"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коэффициент</w:t>
            </w:r>
          </w:p>
          <w:p>
            <w:pPr>
              <w:jc w:val="center"/>
              <w:textAlignment w:val="auto"/>
              <w:ind w:left="-70" w:right="-70" w:start="-70" w:end="-7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уровень</w:t>
            </w:r>
          </w:p>
          <w:p>
            <w:pPr>
              <w:jc w:val="center"/>
              <w:textAlignment w:val="auto"/>
              <w:ind w:left="-70" w:right="-70" w:start="-70" w:end="-7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образования</w:t>
            </w:r>
          </w:p>
          <w:p>
            <w:pPr>
              <w:jc w:val="center"/>
              <w:textAlignment w:val="auto"/>
              <w:ind w:left="-70" w:right="-70" w:start="-70" w:end="-7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педагога</w:t>
            </w:r>
          </w:p>
        </w:tc>
        <w:tc>
          <w:tcPr>
            <w:tcW w:type="dxa" w:w="14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Итоговый повышаю-щий </w:t>
            </w:r>
            <w:r>
              <w:rPr>
                <w:rFonts w:ascii="Times New Roman" w:eastAsia="Times New Roman" w:hAnsi="Times New Roman" w:cs="Times New Roman"/>
                <w:sz w:val="28"/>
              </w:rPr>
              <w:br w:type="textWrapping" w:clear="none"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коэффи-циент (ст.1 + гр. 3    + гр. 5)</w:t>
            </w:r>
          </w:p>
        </w:tc>
      </w:tr>
      <w:tr>
        <w:cantSplit w:val="true"/>
        <w:trHeight w:val="240" w:hRule="atLeast"/>
        <w:tc>
          <w:tcPr>
            <w:tcW w:type="dxa" w:w="9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12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</w:t>
            </w:r>
          </w:p>
        </w:tc>
        <w:tc>
          <w:tcPr>
            <w:tcW w:type="dxa" w:w="23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</w:t>
            </w:r>
          </w:p>
        </w:tc>
        <w:tc>
          <w:tcPr>
            <w:tcW w:type="dxa" w:w="14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</w:t>
            </w:r>
          </w:p>
        </w:tc>
      </w:tr>
      <w:tr>
        <w:cantSplit w:val="true"/>
        <w:trHeight w:val="480" w:hRule="atLeast"/>
        <w:tc>
          <w:tcPr>
            <w:tcW w:type="dxa" w:w="9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12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Отсут-ствует</w:t>
            </w: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</w:t>
            </w:r>
          </w:p>
        </w:tc>
        <w:tc>
          <w:tcPr>
            <w:tcW w:type="dxa" w:w="23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Основное общее или среднее (пол-ное) общее обра-зование 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</w:t>
            </w:r>
          </w:p>
        </w:tc>
        <w:tc>
          <w:tcPr>
            <w:tcW w:type="dxa" w:w="14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</w:tr>
      <w:tr>
        <w:cantSplit w:val="true"/>
        <w:trHeight w:val="480" w:hRule="atLeast"/>
        <w:tc>
          <w:tcPr>
            <w:tcW w:type="dxa" w:w="9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2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3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Начальное или среднее профес-сиональное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образование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0,14</w:t>
            </w:r>
          </w:p>
        </w:tc>
        <w:tc>
          <w:tcPr>
            <w:tcW w:type="dxa" w:w="14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1,14</w:t>
            </w:r>
          </w:p>
        </w:tc>
      </w:tr>
      <w:tr>
        <w:cantSplit w:val="true"/>
        <w:trHeight w:val="720" w:hRule="atLeast"/>
        <w:tc>
          <w:tcPr>
            <w:tcW w:type="dxa" w:w="9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2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3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Высшее профес-сиональное обра-зование (бака-лавр, специалист, магистр) 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0,28</w:t>
            </w:r>
          </w:p>
        </w:tc>
        <w:tc>
          <w:tcPr>
            <w:tcW w:type="dxa" w:w="14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1,28</w:t>
            </w:r>
          </w:p>
        </w:tc>
      </w:tr>
      <w:tr>
        <w:cantSplit w:val="true"/>
        <w:trHeight w:val="480" w:hRule="atLeast"/>
        <w:tc>
          <w:tcPr>
            <w:vMerge w:val="restart"/>
            <w:tcW w:type="dxa" w:w="9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  <w:tc>
          <w:tcPr>
            <w:vMerge w:val="restart"/>
            <w:tcW w:type="dxa" w:w="12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Вторая</w:t>
            </w:r>
          </w:p>
        </w:tc>
        <w:tc>
          <w:tcPr>
            <w:vMerge w:val="restart"/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0,5</w:t>
            </w:r>
          </w:p>
        </w:tc>
        <w:tc>
          <w:tcPr>
            <w:tcW w:type="dxa" w:w="23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Основное общее или среднее (пол-ное) общее обра-зование 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</w:t>
            </w:r>
          </w:p>
        </w:tc>
        <w:tc>
          <w:tcPr>
            <w:tcW w:type="dxa" w:w="14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1,5</w:t>
            </w:r>
          </w:p>
        </w:tc>
      </w:tr>
      <w:tr>
        <w:cantSplit w:val="true"/>
        <w:trHeight w:val="480" w:hRule="atLeast"/>
        <w:tc>
          <w:tcPr>
            <w:vMerge w:val="continue"/>
            <w:tcW w:type="dxa" w:w="9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12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3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Начальное или среднее профес-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сиональное обра-зование 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0,14</w:t>
            </w:r>
          </w:p>
        </w:tc>
        <w:tc>
          <w:tcPr>
            <w:tcW w:type="dxa" w:w="14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1,64</w:t>
            </w:r>
          </w:p>
        </w:tc>
      </w:tr>
      <w:tr>
        <w:cantSplit w:val="true"/>
        <w:trHeight w:val="720" w:hRule="atLeast"/>
        <w:tc>
          <w:tcPr>
            <w:vMerge w:val="continue"/>
            <w:tcW w:type="dxa" w:w="9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12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3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Высшее профес-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сиональное обра-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озование бака-лавр, специалист, магистр)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0,28</w:t>
            </w:r>
          </w:p>
        </w:tc>
        <w:tc>
          <w:tcPr>
            <w:tcW w:type="dxa" w:w="14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1,78</w:t>
            </w:r>
          </w:p>
        </w:tc>
      </w:tr>
      <w:tr>
        <w:cantSplit w:val="true"/>
        <w:trHeight w:val="480" w:hRule="atLeast"/>
        <w:tc>
          <w:tcPr>
            <w:tcW w:type="dxa" w:w="9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12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</w:t>
            </w:r>
          </w:p>
        </w:tc>
        <w:tc>
          <w:tcPr>
            <w:tcW w:type="dxa" w:w="23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</w:t>
            </w:r>
          </w:p>
        </w:tc>
        <w:tc>
          <w:tcPr>
            <w:tcW w:type="dxa" w:w="14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</w:t>
            </w:r>
          </w:p>
        </w:tc>
      </w:tr>
      <w:tr>
        <w:cantSplit w:val="true"/>
        <w:trHeight w:val="480" w:hRule="atLeast"/>
        <w:tc>
          <w:tcPr>
            <w:vMerge w:val="restart"/>
            <w:tcW w:type="dxa" w:w="9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</w:t>
            </w:r>
          </w:p>
        </w:tc>
        <w:tc>
          <w:tcPr>
            <w:vMerge w:val="restart"/>
            <w:tcW w:type="dxa" w:w="12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Первая</w:t>
            </w:r>
          </w:p>
        </w:tc>
        <w:tc>
          <w:tcPr>
            <w:vMerge w:val="restart"/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0,6</w:t>
            </w:r>
          </w:p>
        </w:tc>
        <w:tc>
          <w:tcPr>
            <w:tcW w:type="dxa" w:w="23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Основное общее или среднее (пол-ное) общее обра-зование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</w:t>
            </w:r>
          </w:p>
        </w:tc>
        <w:tc>
          <w:tcPr>
            <w:tcW w:type="dxa" w:w="14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1,6</w:t>
            </w:r>
          </w:p>
        </w:tc>
      </w:tr>
      <w:tr>
        <w:cantSplit w:val="true"/>
        <w:trHeight w:val="480" w:hRule="atLeast"/>
        <w:tc>
          <w:tcPr>
            <w:vMerge w:val="continue"/>
            <w:tcW w:type="dxa" w:w="9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12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3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Начальное или среднее профес-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сиональное обра-зование 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0,14</w:t>
            </w:r>
          </w:p>
        </w:tc>
        <w:tc>
          <w:tcPr>
            <w:tcW w:type="dxa" w:w="14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1,74</w:t>
            </w:r>
          </w:p>
        </w:tc>
      </w:tr>
      <w:tr>
        <w:cantSplit w:val="true"/>
        <w:trHeight w:val="720" w:hRule="atLeast"/>
        <w:tc>
          <w:tcPr>
            <w:vMerge w:val="continue"/>
            <w:tcW w:type="dxa" w:w="9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12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vMerge w:val="continue"/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3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Высшее профес-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сиональное обра-зование (бака-лавр, специалист, магистр) 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0,28</w:t>
            </w:r>
          </w:p>
        </w:tc>
        <w:tc>
          <w:tcPr>
            <w:tcW w:type="dxa" w:w="14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1,88</w:t>
            </w:r>
          </w:p>
        </w:tc>
      </w:tr>
      <w:tr>
        <w:cantSplit w:val="true"/>
        <w:trHeight w:val="360" w:hRule="atLeast"/>
        <w:tc>
          <w:tcPr>
            <w:tcW w:type="dxa" w:w="9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</w:t>
            </w:r>
          </w:p>
        </w:tc>
        <w:tc>
          <w:tcPr>
            <w:tcW w:type="dxa" w:w="12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Высшая</w:t>
            </w: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0,7</w:t>
            </w:r>
          </w:p>
        </w:tc>
        <w:tc>
          <w:tcPr>
            <w:tcW w:type="dxa" w:w="23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Основное или среднее общее образование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</w:t>
            </w:r>
          </w:p>
        </w:tc>
        <w:tc>
          <w:tcPr>
            <w:tcW w:type="dxa" w:w="14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1,7</w:t>
            </w:r>
          </w:p>
        </w:tc>
      </w:tr>
      <w:tr>
        <w:cantSplit w:val="true"/>
        <w:trHeight w:val="480" w:hRule="atLeast"/>
        <w:tc>
          <w:tcPr>
            <w:tcW w:type="dxa" w:w="9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2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3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Начальное или среднее профес-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сиональное обра-зование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0,14</w:t>
            </w:r>
          </w:p>
        </w:tc>
        <w:tc>
          <w:tcPr>
            <w:tcW w:type="dxa" w:w="14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1,84</w:t>
            </w:r>
          </w:p>
        </w:tc>
      </w:tr>
      <w:tr>
        <w:cantSplit w:val="true"/>
        <w:trHeight w:val="720" w:hRule="atLeast"/>
        <w:tc>
          <w:tcPr>
            <w:tcW w:type="dxa" w:w="9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2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23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Высшее профес-сиональное обра-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зование (бака-лавр, специалист, магистр)</w:t>
            </w:r>
          </w:p>
        </w:tc>
        <w:tc>
          <w:tcPr>
            <w:tcW w:type="dxa" w:w="162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0,28</w:t>
            </w:r>
          </w:p>
        </w:tc>
        <w:tc>
          <w:tcPr>
            <w:tcW w:type="dxa" w:w="14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1,98</w:t>
            </w:r>
          </w:p>
        </w:tc>
      </w:tr>
    </w:tbl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3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  <w:r>
        <w:rPr>
          <w:b w:val="false"/>
          <w:rFonts w:ascii="Times New Roman" w:eastAsia="Times New Roman" w:hAnsi="Times New Roman" w:cs="Times New Roman"/>
          <w:sz w:val="28"/>
        </w:rPr>
        <w:t xml:space="preserve">Коэффициенты стажа (Кс</w:t>
      </w:r>
      <w:r>
        <w:rPr>
          <w:b w:val="false"/>
          <w:rFonts w:ascii="Times New Roman" w:eastAsia="Times New Roman" w:hAnsi="Times New Roman" w:cs="Times New Roman"/>
          <w:sz w:val="28"/>
          <w:vertAlign w:val="subscript"/>
        </w:rPr>
        <w:t xml:space="preserve">1</w:t>
      </w:r>
      <w:r>
        <w:rPr>
          <w:b w:val="false"/>
          <w:rFonts w:ascii="Times New Roman" w:eastAsia="Times New Roman" w:hAnsi="Times New Roman" w:cs="Times New Roman"/>
          <w:sz w:val="28"/>
        </w:rPr>
        <w:t xml:space="preserve">)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tbl>
      <w:tblPr>
        <w:tblLayout w:type="fixed"/>
        <w:tblInd w:w="70" w:type="dxa"/>
        <w:tblW w:w="0" w:type="auto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995"/>
        <w:gridCol w:w="4365"/>
      </w:tblGrid>
      <w:tr>
        <w:cantSplit w:val="true"/>
        <w:trHeight w:val="240" w:hRule="atLeast"/>
        <w:tc>
          <w:tcPr>
            <w:tcW w:type="dxa" w:w="4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Стаж педагогической работы</w:t>
            </w:r>
          </w:p>
        </w:tc>
        <w:tc>
          <w:tcPr>
            <w:tcW w:type="dxa" w:w="436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Применяемый коэффициент</w:t>
            </w:r>
          </w:p>
        </w:tc>
      </w:tr>
      <w:tr>
        <w:cantSplit w:val="true"/>
        <w:trHeight w:val="240" w:hRule="atLeast"/>
        <w:tc>
          <w:tcPr>
            <w:tcW w:type="dxa" w:w="4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Свыше 20 лет</w:t>
            </w:r>
          </w:p>
        </w:tc>
        <w:tc>
          <w:tcPr>
            <w:tcW w:type="dxa" w:w="436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0,20</w:t>
            </w:r>
          </w:p>
        </w:tc>
      </w:tr>
      <w:tr>
        <w:cantSplit w:val="true"/>
        <w:trHeight w:val="240" w:hRule="atLeast"/>
        <w:tc>
          <w:tcPr>
            <w:tcW w:type="dxa" w:w="4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15 до 20 лет </w:t>
            </w:r>
          </w:p>
        </w:tc>
        <w:tc>
          <w:tcPr>
            <w:tcW w:type="dxa" w:w="436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0,15</w:t>
            </w:r>
          </w:p>
        </w:tc>
      </w:tr>
      <w:tr>
        <w:cantSplit w:val="true"/>
        <w:trHeight w:val="240" w:hRule="atLeast"/>
        <w:tc>
          <w:tcPr>
            <w:tcW w:type="dxa" w:w="4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10 до 15 лет </w:t>
            </w:r>
          </w:p>
        </w:tc>
        <w:tc>
          <w:tcPr>
            <w:tcW w:type="dxa" w:w="436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0,10</w:t>
            </w:r>
          </w:p>
        </w:tc>
      </w:tr>
      <w:tr>
        <w:cantSplit w:val="true"/>
        <w:trHeight w:val="240" w:hRule="atLeast"/>
        <w:tc>
          <w:tcPr>
            <w:tcW w:type="dxa" w:w="4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 3 до 10 лет </w:t>
            </w:r>
          </w:p>
        </w:tc>
        <w:tc>
          <w:tcPr>
            <w:tcW w:type="dxa" w:w="436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0,05</w:t>
            </w:r>
          </w:p>
        </w:tc>
      </w:tr>
      <w:tr>
        <w:cantSplit w:val="true"/>
        <w:trHeight w:val="240" w:hRule="atLeast"/>
        <w:tc>
          <w:tcPr>
            <w:tcW w:type="dxa" w:w="499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 3 лет</w:t>
            </w:r>
          </w:p>
        </w:tc>
        <w:tc>
          <w:tcPr>
            <w:tcW w:type="dxa" w:w="4365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0,10</w:t>
            </w:r>
          </w:p>
        </w:tc>
      </w:tr>
    </w:tbl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outlineLvl w:val="1"/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Таблица 4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8"/>
        </w:rPr>
      </w:pPr>
      <w:r>
        <w:rPr>
          <w:b w:val="false"/>
          <w:rFonts w:ascii="Times New Roman" w:eastAsia="Times New Roman" w:hAnsi="Times New Roman" w:cs="Times New Roman"/>
          <w:sz w:val="28"/>
        </w:rPr>
        <w:t xml:space="preserve">Коэффициенты специфики работы (Ксп</w:t>
      </w:r>
      <w:r>
        <w:rPr>
          <w:b w:val="false"/>
          <w:rFonts w:ascii="Times New Roman" w:eastAsia="Times New Roman" w:hAnsi="Times New Roman" w:cs="Times New Roman"/>
          <w:sz w:val="28"/>
          <w:vertAlign w:val="subscript"/>
        </w:rPr>
        <w:t xml:space="preserve">1</w:t>
      </w:r>
      <w:r>
        <w:rPr>
          <w:b w:val="false"/>
          <w:rFonts w:ascii="Times New Roman" w:eastAsia="Times New Roman" w:hAnsi="Times New Roman" w:cs="Times New Roman"/>
          <w:sz w:val="28"/>
        </w:rPr>
        <w:t xml:space="preserve">)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tbl>
      <w:tblPr>
        <w:tblLayout w:type="fixed"/>
        <w:tblInd w:w="70" w:type="dxa"/>
        <w:tblW w:w="9360" w:type="dxa"/>
        <w:tblCellMar>
          <w:bottom w:w="0" w:type="dxa"/>
          <w:left w:w="70" w:type="dxa"/>
          <w:right w:w="7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7560"/>
        <w:gridCol w:w="1800"/>
      </w:tblGrid>
      <w:tr>
        <w:cantSplit w:val="true"/>
        <w:trHeight w:val="960" w:hRule="atLeast"/>
        <w:tc>
          <w:tcPr>
            <w:tcW w:type="dxa" w:w="75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Показатели специфики</w:t>
            </w: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Коэффи-циент, применяемый при      </w:t>
            </w:r>
            <w:r>
              <w:rPr>
                <w:rFonts w:ascii="Times New Roman" w:eastAsia="Times New Roman" w:hAnsi="Times New Roman" w:cs="Times New Roman"/>
                <w:sz w:val="28"/>
              </w:rPr>
              <w:br w:type="textWrapping" w:clear="none"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установлении окладов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педагогичес-ких</w:t>
            </w:r>
          </w:p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работников</w:t>
            </w:r>
          </w:p>
        </w:tc>
      </w:tr>
      <w:tr>
        <w:cantSplit w:val="true"/>
        <w:trHeight w:val="348" w:hRule="atLeast"/>
        <w:tc>
          <w:tcPr>
            <w:tcW w:type="dxa" w:w="75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</w:t>
            </w: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</w:t>
            </w:r>
          </w:p>
        </w:tc>
      </w:tr>
      <w:tr>
        <w:cantSplit w:val="true"/>
        <w:trHeight w:val="600" w:hRule="atLeast"/>
        <w:tc>
          <w:tcPr>
            <w:tcW w:type="dxa" w:w="75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работу в специальных (коррекционных) образовательных учреждениях (отделениях, классах, группах) для обучающихся, воспитанников с ограниченными возможнос-тями здоровья, школах-интернатах, учреждениях (группах) для детей-сирот и детей, оставшихся без попечения родителей</w:t>
            </w: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1,20</w:t>
            </w:r>
          </w:p>
        </w:tc>
      </w:tr>
      <w:tr>
        <w:cantSplit w:val="true"/>
        <w:trHeight w:val="480" w:hRule="atLeast"/>
        <w:tc>
          <w:tcPr>
            <w:tcW w:type="dxa" w:w="75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работу в оздоровительных образовательных учреждениях санаторного типа (классах, группах) для детей, нуждающихся в длительном лечении </w:t>
            </w: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1,15</w:t>
            </w:r>
          </w:p>
        </w:tc>
      </w:tr>
      <w:tr>
        <w:cantSplit w:val="true"/>
        <w:trHeight w:val="600" w:hRule="atLeast"/>
        <w:tc>
          <w:tcPr>
            <w:tcW w:type="dxa" w:w="75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работу в специальных (коррекционных) отделениях, классах, группах для обучающихся (воспитанников) с отклонениями в развитии или классах (группах) для обучающихся (воспитанников), нуждающихся в длительном лечении</w:t>
            </w: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1,20</w:t>
            </w:r>
          </w:p>
        </w:tc>
      </w:tr>
      <w:tr>
        <w:cantSplit w:val="true"/>
        <w:trHeight w:val="600" w:hRule="atLeast"/>
        <w:tc>
          <w:tcPr>
            <w:tcW w:type="dxa" w:w="75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Учителям и другим педагогическим работникам за индивидуальное обучение на дому на основании медицинского заключения детей, имеющих ограниченные возможности здоровья 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1,20</w:t>
            </w:r>
          </w:p>
        </w:tc>
      </w:tr>
      <w:tr>
        <w:cantSplit w:val="true"/>
        <w:trHeight w:val="600" w:hRule="atLeast"/>
        <w:tc>
          <w:tcPr>
            <w:tcW w:type="dxa" w:w="75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Учителям и другим педагогическим работникам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 </w:t>
            </w: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</w:t>
            </w:r>
          </w:p>
        </w:tc>
      </w:tr>
      <w:tr>
        <w:cantSplit w:val="true"/>
        <w:trHeight w:val="240" w:hRule="atLeast"/>
        <w:tc>
          <w:tcPr>
            <w:tcW w:type="dxa" w:w="75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Специалистам логопедических пунктов </w:t>
            </w: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</w:t>
            </w:r>
          </w:p>
        </w:tc>
      </w:tr>
      <w:tr>
        <w:cantSplit w:val="true"/>
        <w:trHeight w:val="480" w:hRule="atLeast"/>
        <w:tc>
          <w:tcPr>
            <w:tcW w:type="dxa" w:w="75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Работникам, имеющим ученую степень доктора наук по профилю образовательного учреждения или педагогической деятельности (преподаваемых дисциплин)</w:t>
            </w: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</w:t>
            </w:r>
          </w:p>
        </w:tc>
      </w:tr>
      <w:tr>
        <w:cantSplit w:val="true"/>
        <w:trHeight w:val="480" w:hRule="atLeast"/>
        <w:tc>
          <w:tcPr>
            <w:tcW w:type="dxa" w:w="75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Работникам, имеющим ученую степень кандидата наук по профилю образовательного учреждения или педагогической деятельности (преподаваемых дисциплин) </w:t>
            </w: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1,1</w:t>
            </w:r>
          </w:p>
        </w:tc>
      </w:tr>
      <w:tr>
        <w:cantSplit w:val="true"/>
        <w:trHeight w:val="600" w:hRule="atLeast"/>
        <w:tc>
          <w:tcPr>
            <w:tcW w:type="dxa" w:w="75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Педагогическим работникам, имеющим почетное звание «Народный учитель» и другие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«Народ-ный», при условии соответствия почетного звания профилю учреждения, а педагогическим работникам – профилю педагогической деятельности или преподаваемых дисциплин</w:t>
            </w: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1,25</w:t>
            </w:r>
          </w:p>
        </w:tc>
      </w:tr>
      <w:tr>
        <w:cantSplit w:val="true"/>
        <w:trHeight w:val="600" w:hRule="atLeast"/>
        <w:tc>
          <w:tcPr>
            <w:tcW w:type="dxa" w:w="756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Педагогическим работникам, имеющим почетное звание «Заслуженный учитель  СССР», «Заслуженный преподаватель СССР», «Заслуженный учитель  Российской Федерации», «Заслуженный преподаватель Российской Федерации»,  «Заслуженный учитель», «Заслуженный преподаватель»  союзных республик, входивших в состав СССР, «Заслуженный работник физической культуры», «Заслуженный мастер профтехобразования», «Заслуженный работник культуры», «Заслуженный деятель искусств», «Заслуженный артист» и другие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«Заслуженный», ученую степень кандидата наук при условии соответствия почетного звания профилю учреждения, а педагогическим работникам – профилю педагогической деятельности или преподаваемых дисциплин</w:t>
            </w:r>
          </w:p>
        </w:tc>
        <w:tc>
          <w:tcPr>
            <w:tcW w:type="dxa" w:w="1800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1,2</w:t>
            </w:r>
          </w:p>
        </w:tc>
      </w:tr>
    </w:tbl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Для преподавателей учреждений дополнительного образования наличие документа о повышении квалификации является основанием для применения коэффициента квалификации, соответствующего первой квалификационной категории.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Почасовая оплата труда педагогических работников применяется при оплате: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за часы, отработанные в порядке замещения отсутствующих по болезни или другим причинам педагогических работников, продолжавшегося не свыше двух месяцев;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за часы педагогической работы, отработанные учителями при работе с детьми, находящимися на длительном лечении в больнице, сверх объема, установленного им при тарификации;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педагогической работы специалистов других учреждений (исполнительного органа государственной власти области в сфере управления образованием), привлекаемых для педагогической работы в образовательные учреждения;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за часы преподавательской работы в объеме не более 300 часов в год сверх учебной нагрузки, выполняемой по совместительству на основе тарификации;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Размер оплаты труда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часов, установленное по занимаемой должности.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(месячной) нагрузки путем внесения изменений в тарификацию.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При обучении слушателей курсов повышения квалификации применяются следующие коэффициенты к базовой единице: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профессоров, докторов наук, для лиц, имеющих почетные звания, начинающиеся со слова «Народный», – 0,15;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доцентов, кандидатов наук, лиц, имеющих почетные звания, начинающиеся со слова «Заслуженный», – 0,12;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лиц, не имеющих почетных званий, – 0,08.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  <w:titlePg/>
      <w:headerReference w:type="default" r:id="rId4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0" w:line="240"/>
      <w:bidi w:val="false"/>
      <w:framePr w:hAnchor="margin" w:xAlign="center" w:vAnchor="text" w:y="0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  <w:fldSimple w:instr="PAGE">
      <w:r>
        <w:rPr>
          <w:rFonts w:ascii="Times New Roman" w:eastAsia="Times New Roman" w:hAnsi="Times New Roman" w:cs="Times New Roman"/>
          <w:sz w:val="24"/>
        </w:rPr>
        <w:t xml:space="preserve">7</w:t>
      </w:r>
    </w:fldSimple>
  </w:p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Times New Roman" w:eastAsia="Times New Roman" w:hAnsi="Times New Roman" w:cs="Times New Roman"/>
        <w:sz w:val="24"/>
      </w:rPr>
    </w:pP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hyperlink" Target="consultantplus://offline/main?base=RLAW127;n=15563;fld=134;dst=100263" TargetMode="Externa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7</Pages>
  <Words>1490</Words>
  <Characters>8497</Characters>
  <CharactersWithSpaces>9968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kiv</dc:creator>
</cp:coreProperties>
</file>