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0" Type="http://schemas.openxmlformats.org/officeDocument/2006/relationships/extended-properties" Target="docProps/app.xml"/><Relationship Id="rId11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autofit"/>
        <w:tblInd w:w="108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860"/>
        <w:gridCol w:w="4500"/>
      </w:tblGrid>
      <w:tr>
        <w:tc>
          <w:tcPr>
            <w:tcW w:type="dxa" w:w="4860"/>
            <w:shd w:val="nil"/>
            <w:vAlign w:val="top"/>
            <w:textDirection w:val="lrTb"/>
            <w:gridSpan w:val="1"/>
          </w:tcPr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4500"/>
            <w:shd w:val="nil"/>
            <w:vAlign w:val="top"/>
            <w:textDirection w:val="lrTb"/>
            <w:gridSpan w:val="1"/>
          </w:tcPr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Приложение 3</w:t>
            </w:r>
          </w:p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 положению</w:t>
            </w:r>
          </w:p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>
      <w:pPr>
        <w:jc w:val="right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  <w:highlight w:val="cyan"/>
        </w:rPr>
      </w:pPr>
    </w:p>
    <w:p>
      <w:pPr>
        <w:jc w:val="right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  <w:highlight w:val="cyan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8"/>
        </w:rPr>
      </w:pPr>
      <w:r>
        <w:rPr>
          <w:b w:val="false"/>
          <w:rFonts w:ascii="Times New Roman" w:eastAsia="Times New Roman" w:hAnsi="Times New Roman" w:cs="Times New Roman"/>
          <w:sz w:val="28"/>
        </w:rPr>
        <w:t xml:space="preserve">ПОРЯДОК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8"/>
        </w:rPr>
      </w:pPr>
      <w:r>
        <w:rPr>
          <w:b w:val="false"/>
          <w:rFonts w:ascii="Times New Roman" w:eastAsia="Times New Roman" w:hAnsi="Times New Roman" w:cs="Times New Roman"/>
          <w:sz w:val="28"/>
        </w:rPr>
        <w:t xml:space="preserve">установления должностных окладов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8"/>
        </w:rPr>
      </w:pPr>
      <w:r>
        <w:rPr>
          <w:b w:val="false"/>
          <w:rFonts w:ascii="Times New Roman" w:eastAsia="Times New Roman" w:hAnsi="Times New Roman" w:cs="Times New Roman"/>
          <w:sz w:val="28"/>
        </w:rPr>
        <w:t xml:space="preserve">и другие условия оплаты труда руководителей, заместителей руководителей, главных бухгалтеров, специалистов и служащих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8"/>
          <w:highlight w:val="cyan"/>
        </w:rPr>
      </w:pPr>
      <w:r>
        <w:rPr>
          <w:b w:val="false"/>
          <w:rFonts w:ascii="Times New Roman" w:eastAsia="Times New Roman" w:hAnsi="Times New Roman" w:cs="Times New Roman"/>
          <w:sz w:val="28"/>
        </w:rPr>
        <w:t xml:space="preserve">образовательных учреждений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  <w:highlight w:val="cyan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Должностные оклады руководителей образовательных учреждений, руководителей структурных подразделений образовательного учреждения устанавливаются исходя из отнесения учреждений к группам по оплате труда руководителей и руководящих работников в зависимости от объема и сложности выполняемых работ.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  <w:highlight w:val="cyan"/>
        </w:rPr>
      </w:pPr>
      <w:r>
        <w:rPr>
          <w:rFonts w:ascii="Times New Roman" w:eastAsia="Times New Roman" w:hAnsi="Times New Roman" w:cs="Times New Roman"/>
          <w:sz w:val="28"/>
        </w:rPr>
        <w:t xml:space="preserve">2. Показатели и порядок отнесения учреждений к группам по оплате труда руководителей и руководящих работников определяются согласно приложению 6 к настоящему Положению.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Должностные оклады заместителей руководителей и главных бухгалтеров образовательных учреждений устанавливаются на 10 – 20 процентов ниже должностных окладов руководителей этих учреждений в соответствии с уровнем квалификации.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Должностные оклады руководителей образовательных учреждений, руководителей структурных подразделений образовательного учреждения определяются по следующей формуле: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16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 = Б х Крс х Ксп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1</w:t>
      </w:r>
      <w:r>
        <w:rPr>
          <w:rFonts w:ascii="Times New Roman" w:eastAsia="Times New Roman" w:hAnsi="Times New Roman" w:cs="Times New Roman"/>
          <w:sz w:val="28"/>
        </w:rPr>
        <w:t xml:space="preserve">, где: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 – должностной оклад руководителя образовательного учреждения, руководителя структурного  подразделения образовательного учреждения;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 – базовая единица;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Крс – повышающий коэффициент к должностным окладам  руководителя образовательного учреждения, руководителей структурных подразделений образовательного учреждения, значения которых приведены в </w:t>
      </w:r>
      <w:hyperlink r:id="rId2">
        <w:r>
          <w:rPr>
            <w:rFonts w:ascii="Times New Roman" w:eastAsia="Times New Roman" w:hAnsi="Times New Roman" w:cs="Times New Roman"/>
            <w:sz w:val="28"/>
          </w:rPr>
          <w:t xml:space="preserve">таблицах  1</w:t>
        </w:r>
      </w:hyperlink>
      <w:r>
        <w:rPr>
          <w:rFonts w:ascii="Times New Roman" w:eastAsia="Times New Roman" w:hAnsi="Times New Roman" w:cs="Times New Roman"/>
          <w:sz w:val="28"/>
        </w:rPr>
        <w:t xml:space="preserve"> – 4;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Ксп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1</w:t>
      </w:r>
      <w:r>
        <w:rPr>
          <w:rFonts w:ascii="Times New Roman" w:eastAsia="Times New Roman" w:hAnsi="Times New Roman" w:cs="Times New Roman"/>
          <w:sz w:val="28"/>
        </w:rPr>
        <w:t xml:space="preserve"> - коэффициент специфики работы, значения которых приведены в таблице 4 приложения 1 к настоящему Положению (при наличии двух и более оснований общий размер коэффициента специфики работы определяется умножением коэффициентов по имеющимся основаниям).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Должностной оклад руководителя образовательного учреждения  не должен превышать трех размеров средней заработной платы работников, которые относятся к основному персоналу.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1</w:t>
      </w:r>
    </w:p>
    <w:p>
      <w:pPr>
        <w:jc w:val="right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tbl>
      <w:tblPr>
        <w:tblLayout w:type="autofit"/>
        <w:tblInd w:w="0" w:type="dxa"/>
        <w:tblW w:w="9468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4968"/>
        <w:gridCol w:w="2508"/>
        <w:gridCol w:w="1992"/>
      </w:tblGrid>
      <w:tr>
        <w:tc>
          <w:tcPr>
            <w:tcW w:type="dxa" w:w="49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должностей</w:t>
            </w:r>
          </w:p>
        </w:tc>
        <w:tc>
          <w:tcPr>
            <w:tcW w:type="dxa" w:w="25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Число воспитанников, обучающихся, учащихся</w:t>
            </w:r>
          </w:p>
        </w:tc>
        <w:tc>
          <w:tcPr>
            <w:tcW w:type="dxa" w:w="1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Повышающий коэффициент</w:t>
            </w:r>
          </w:p>
        </w:tc>
      </w:tr>
      <w:tr>
        <w:tc>
          <w:tcPr>
            <w:tcW w:type="dxa" w:w="49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  <w:tc>
          <w:tcPr>
            <w:tcW w:type="dxa" w:w="25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</w:t>
            </w:r>
          </w:p>
        </w:tc>
        <w:tc>
          <w:tcPr>
            <w:tcW w:type="dxa" w:w="1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</w:t>
            </w:r>
          </w:p>
        </w:tc>
      </w:tr>
      <w:tr>
        <w:tc>
          <w:tcPr>
            <w:vMerge w:val="restart"/>
            <w:tcW w:type="dxa" w:w="49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библиотекой</w:t>
            </w:r>
          </w:p>
        </w:tc>
        <w:tc>
          <w:tcPr>
            <w:tcW w:type="dxa" w:w="25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Свыше 800 чел.</w:t>
            </w:r>
          </w:p>
        </w:tc>
        <w:tc>
          <w:tcPr>
            <w:tcW w:type="dxa" w:w="1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2,10</w:t>
            </w:r>
          </w:p>
        </w:tc>
      </w:tr>
      <w:tr>
        <w:tc>
          <w:tcPr>
            <w:vMerge w:val="continue"/>
            <w:tcW w:type="dxa" w:w="49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5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500 до 800 чел.</w:t>
            </w:r>
          </w:p>
        </w:tc>
        <w:tc>
          <w:tcPr>
            <w:tcW w:type="dxa" w:w="1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2,00</w:t>
            </w:r>
          </w:p>
        </w:tc>
      </w:tr>
      <w:tr>
        <w:tc>
          <w:tcPr>
            <w:vMerge w:val="continue"/>
            <w:tcW w:type="dxa" w:w="49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5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100 до 499 чел.</w:t>
            </w:r>
          </w:p>
        </w:tc>
        <w:tc>
          <w:tcPr>
            <w:tcW w:type="dxa" w:w="1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1,92</w:t>
            </w:r>
          </w:p>
        </w:tc>
      </w:tr>
      <w:tr>
        <w:tc>
          <w:tcPr>
            <w:vMerge w:val="restart"/>
            <w:tcW w:type="dxa" w:w="49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производством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(шеф-повар)</w:t>
            </w:r>
          </w:p>
        </w:tc>
        <w:tc>
          <w:tcPr>
            <w:tcW w:type="dxa" w:w="25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Свыше 800 чел.</w:t>
            </w:r>
          </w:p>
        </w:tc>
        <w:tc>
          <w:tcPr>
            <w:tcW w:type="dxa" w:w="1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2,10</w:t>
            </w:r>
          </w:p>
        </w:tc>
      </w:tr>
      <w:tr>
        <w:tc>
          <w:tcPr>
            <w:vMerge w:val="continue"/>
            <w:tcW w:type="dxa" w:w="49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5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500 до 800 чел.</w:t>
            </w:r>
          </w:p>
        </w:tc>
        <w:tc>
          <w:tcPr>
            <w:tcW w:type="dxa" w:w="1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2,00</w:t>
            </w:r>
          </w:p>
        </w:tc>
      </w:tr>
      <w:tr>
        <w:tc>
          <w:tcPr>
            <w:vMerge w:val="continue"/>
            <w:tcW w:type="dxa" w:w="49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5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100 до 499 чел.</w:t>
            </w:r>
          </w:p>
        </w:tc>
        <w:tc>
          <w:tcPr>
            <w:tcW w:type="dxa" w:w="1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1,92</w:t>
            </w:r>
          </w:p>
        </w:tc>
      </w:tr>
      <w:tr>
        <w:tc>
          <w:tcPr>
            <w:vMerge w:val="restart"/>
            <w:tcW w:type="dxa" w:w="49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Руководитель филиала общеобразовательного учреждения</w:t>
            </w:r>
          </w:p>
        </w:tc>
        <w:tc>
          <w:tcPr>
            <w:tcW w:type="dxa" w:w="25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Свыше 100 чел.</w:t>
            </w:r>
          </w:p>
        </w:tc>
        <w:tc>
          <w:tcPr>
            <w:tcW w:type="dxa" w:w="1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4,00</w:t>
            </w:r>
          </w:p>
        </w:tc>
      </w:tr>
      <w:tr>
        <w:tc>
          <w:tcPr>
            <w:vMerge w:val="continue"/>
            <w:tcW w:type="dxa" w:w="49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5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100 до 50 чел.</w:t>
            </w:r>
          </w:p>
        </w:tc>
        <w:tc>
          <w:tcPr>
            <w:tcW w:type="dxa" w:w="1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3,00</w:t>
            </w:r>
          </w:p>
        </w:tc>
      </w:tr>
      <w:tr>
        <w:tc>
          <w:tcPr>
            <w:vMerge w:val="continue"/>
            <w:tcW w:type="dxa" w:w="49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5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50 чел.</w:t>
            </w:r>
          </w:p>
        </w:tc>
        <w:tc>
          <w:tcPr>
            <w:tcW w:type="dxa" w:w="1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</w:t>
            </w:r>
          </w:p>
        </w:tc>
      </w:tr>
    </w:tbl>
    <w:p>
      <w:pPr>
        <w:jc w:val="right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2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4726"/>
        <w:gridCol w:w="2512"/>
        <w:gridCol w:w="2230"/>
      </w:tblGrid>
      <w:tr>
        <w:tc>
          <w:tcPr>
            <w:tcW w:type="dxa" w:w="47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должностей</w:t>
            </w:r>
          </w:p>
        </w:tc>
        <w:tc>
          <w:tcPr>
            <w:tcW w:type="dxa" w:w="251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Обрабатываемая земельная площадь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(га)</w:t>
            </w:r>
          </w:p>
        </w:tc>
        <w:tc>
          <w:tcPr>
            <w:tcW w:type="dxa" w:w="22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Повышающий коэффициент</w:t>
            </w:r>
          </w:p>
        </w:tc>
      </w:tr>
      <w:tr>
        <w:tc>
          <w:tcPr>
            <w:vMerge w:val="restart"/>
            <w:tcW w:type="dxa" w:w="47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Управляющий учебным хозяйством</w:t>
            </w:r>
          </w:p>
        </w:tc>
        <w:tc>
          <w:tcPr>
            <w:tcW w:type="dxa" w:w="251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50 до 100</w:t>
            </w:r>
          </w:p>
        </w:tc>
        <w:tc>
          <w:tcPr>
            <w:tcW w:type="dxa" w:w="22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1,80</w:t>
            </w:r>
          </w:p>
        </w:tc>
      </w:tr>
      <w:tr>
        <w:tc>
          <w:tcPr>
            <w:vMerge w:val="continue"/>
            <w:tcW w:type="dxa" w:w="47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51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100 до 200</w:t>
            </w:r>
          </w:p>
        </w:tc>
        <w:tc>
          <w:tcPr>
            <w:tcW w:type="dxa" w:w="22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1,85</w:t>
            </w:r>
          </w:p>
        </w:tc>
      </w:tr>
      <w:tr>
        <w:tc>
          <w:tcPr>
            <w:vMerge w:val="continue"/>
            <w:tcW w:type="dxa" w:w="47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51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200 до 300</w:t>
            </w:r>
          </w:p>
        </w:tc>
        <w:tc>
          <w:tcPr>
            <w:tcW w:type="dxa" w:w="22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1,94</w:t>
            </w:r>
          </w:p>
        </w:tc>
      </w:tr>
      <w:tr>
        <w:tc>
          <w:tcPr>
            <w:vMerge w:val="continue"/>
            <w:tcW w:type="dxa" w:w="47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51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300 до 400</w:t>
            </w:r>
          </w:p>
        </w:tc>
        <w:tc>
          <w:tcPr>
            <w:tcW w:type="dxa" w:w="22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2,10</w:t>
            </w:r>
          </w:p>
        </w:tc>
      </w:tr>
      <w:tr>
        <w:tc>
          <w:tcPr>
            <w:vMerge w:val="continue"/>
            <w:tcW w:type="dxa" w:w="47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51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400 до 500</w:t>
            </w:r>
          </w:p>
        </w:tc>
        <w:tc>
          <w:tcPr>
            <w:tcW w:type="dxa" w:w="22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2,25</w:t>
            </w:r>
          </w:p>
        </w:tc>
      </w:tr>
      <w:tr>
        <w:tc>
          <w:tcPr>
            <w:vMerge w:val="continue"/>
            <w:tcW w:type="dxa" w:w="47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51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Свыше 500</w:t>
            </w:r>
          </w:p>
        </w:tc>
        <w:tc>
          <w:tcPr>
            <w:tcW w:type="dxa" w:w="22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2,43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3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4731"/>
        <w:gridCol w:w="2506"/>
        <w:gridCol w:w="2231"/>
      </w:tblGrid>
      <w:tr>
        <w:tc>
          <w:tcPr>
            <w:tcW w:type="dxa" w:w="473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должностей</w:t>
            </w:r>
          </w:p>
        </w:tc>
        <w:tc>
          <w:tcPr>
            <w:tcW w:type="dxa" w:w="25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Число воспитанников, обучающихся, учащихся</w:t>
            </w:r>
          </w:p>
        </w:tc>
        <w:tc>
          <w:tcPr>
            <w:tcW w:type="dxa" w:w="223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Повышающий коэффициент</w:t>
            </w:r>
          </w:p>
        </w:tc>
      </w:tr>
      <w:tr>
        <w:tc>
          <w:tcPr>
            <w:tcW w:type="dxa" w:w="473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Начальник штаба гражданской обороны</w:t>
            </w:r>
          </w:p>
        </w:tc>
        <w:tc>
          <w:tcPr>
            <w:tcW w:type="dxa" w:w="25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 контингенте свыше 600 чел.</w:t>
            </w:r>
          </w:p>
        </w:tc>
        <w:tc>
          <w:tcPr>
            <w:tcW w:type="dxa" w:w="223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2,25</w:t>
            </w:r>
          </w:p>
        </w:tc>
      </w:tr>
      <w:tr>
        <w:tc>
          <w:tcPr>
            <w:tcW w:type="dxa" w:w="473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общежитием</w:t>
            </w:r>
          </w:p>
        </w:tc>
        <w:tc>
          <w:tcPr>
            <w:tcW w:type="dxa" w:w="25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количеством проживающих свыше 300 чел.</w:t>
            </w:r>
          </w:p>
        </w:tc>
        <w:tc>
          <w:tcPr>
            <w:tcW w:type="dxa" w:w="223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1,94</w:t>
            </w:r>
          </w:p>
        </w:tc>
      </w:tr>
    </w:tbl>
    <w:p>
      <w:pPr>
        <w:jc w:val="right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4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tbl>
      <w:tblPr>
        <w:tblLayout w:type="fixed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5148"/>
        <w:gridCol w:w="1080"/>
        <w:gridCol w:w="1080"/>
        <w:gridCol w:w="1080"/>
        <w:gridCol w:w="1080"/>
      </w:tblGrid>
      <w:tr>
        <w:trHeight w:val="1285" w:hRule="atLeast"/>
        <w:tc>
          <w:tcPr>
            <w:vMerge w:val="restart"/>
            <w:tcW w:type="dxa" w:w="51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должностей</w:t>
            </w:r>
          </w:p>
        </w:tc>
        <w:tc>
          <w:tcPr>
            <w:tcW w:type="dxa" w:w="43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Повышающий коэффициент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(образовательные учреждения, относящиеся к группам по оплате труда руководителей)</w:t>
            </w:r>
          </w:p>
        </w:tc>
      </w:tr>
      <w:tr>
        <w:trHeight w:val="280" w:hRule="atLeast"/>
        <w:tc>
          <w:tcPr>
            <w:vMerge w:val="continue"/>
            <w:tcW w:type="dxa" w:w="51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группа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группа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III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группа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IV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группа</w:t>
            </w:r>
          </w:p>
        </w:tc>
      </w:tr>
      <w:tr>
        <w:tc>
          <w:tcPr>
            <w:tcW w:type="dxa" w:w="51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</w:t>
            </w:r>
          </w:p>
        </w:tc>
      </w:tr>
      <w:tr>
        <w:tc>
          <w:tcPr>
            <w:tcW w:type="dxa" w:w="51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Руководитель учреждения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2,35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2,19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2,02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1,89</w:t>
            </w:r>
          </w:p>
        </w:tc>
      </w:tr>
      <w:tr>
        <w:tc>
          <w:tcPr>
            <w:tcW w:type="dxa" w:w="51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столовой и других  струк-турных подразделений общеобразова-тельного учреждения (подразделения), учреждения дополнительного образова-ния детей, начального и среднего профессионального образования 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2,25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2,1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1,94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1,79</w:t>
            </w:r>
          </w:p>
        </w:tc>
      </w:tr>
      <w:tr>
        <w:tc>
          <w:tcPr>
            <w:tcW w:type="dxa" w:w="51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 кабинетом, лабораторией, отделом, отделением, сектором учреж-дения дополнительного образования взрослых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2,97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>
        <w:tc>
          <w:tcPr>
            <w:tcW w:type="dxa" w:w="51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кафедрой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2,57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>
        <w:tc>
          <w:tcPr>
            <w:tcW w:type="dxa" w:w="51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Начальник (заведующий, директор, руководитель, управляющий) обособ-ленного структурного подразделения (филиала) общеобразовательного учреж-дения (подразделения),  учреждения дополнительного образования детей, начального и среднего профессио-нального образования, старший мастер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2,43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2,25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2,1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1,94</w:t>
            </w:r>
          </w:p>
        </w:tc>
      </w:tr>
    </w:tbl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Должностной оклад специалистов и служащих из числа учебно-вспомогательного персонала образовательного учреждения определяется по следующей формуле: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16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Оув = Б х Кувх Ксп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1</w:t>
      </w:r>
      <w:r>
        <w:rPr>
          <w:rFonts w:ascii="Times New Roman" w:eastAsia="Times New Roman" w:hAnsi="Times New Roman" w:cs="Times New Roman"/>
          <w:sz w:val="28"/>
        </w:rPr>
        <w:t xml:space="preserve">, где: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Оув – должностной оклад специалистов и служащих из числа учебно-вспомогательного персонала;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 – базовая единица;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Кув – повышающий коэффициент к должностным окладам по должностям работников из числа учебно-вспомогательного персонала образовательных учреждений, значения которых приведены в </w:t>
      </w:r>
      <w:hyperlink r:id="rId3">
        <w:r>
          <w:rPr>
            <w:rFonts w:ascii="Times New Roman" w:eastAsia="Times New Roman" w:hAnsi="Times New Roman" w:cs="Times New Roman"/>
            <w:sz w:val="28"/>
          </w:rPr>
          <w:t xml:space="preserve">таблице </w:t>
        </w:r>
      </w:hyperlink>
      <w:r>
        <w:rPr>
          <w:rFonts w:ascii="Times New Roman" w:eastAsia="Times New Roman" w:hAnsi="Times New Roman" w:cs="Times New Roman"/>
          <w:sz w:val="28"/>
        </w:rPr>
        <w:t xml:space="preserve">5.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5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tbl>
      <w:tblPr>
        <w:tblLayout w:type="fixed"/>
        <w:tblInd w:w="0" w:type="dxa"/>
        <w:tblW w:w="9468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3652"/>
        <w:gridCol w:w="956"/>
        <w:gridCol w:w="1080"/>
        <w:gridCol w:w="941"/>
        <w:gridCol w:w="850"/>
        <w:gridCol w:w="1989"/>
      </w:tblGrid>
      <w:tr>
        <w:trHeight w:val="558" w:hRule="atLeast"/>
        <w:tc>
          <w:tcPr>
            <w:tcW w:type="dxa" w:w="36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должности и требования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квалификации</w:t>
            </w:r>
          </w:p>
        </w:tc>
        <w:tc>
          <w:tcPr>
            <w:tcW w:type="dxa" w:w="38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Категории</w:t>
            </w:r>
          </w:p>
        </w:tc>
        <w:tc>
          <w:tcPr>
            <w:tcW w:type="dxa" w:w="198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Повышаю-щий коэф-фициент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должност-ным окладам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должнос-тям работ-ников из числа учебно-вспомога-тельного персонала (Кув)</w:t>
            </w:r>
          </w:p>
        </w:tc>
      </w:tr>
      <w:tr>
        <w:tc>
          <w:tcPr>
            <w:tcW w:type="dxa" w:w="36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9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выс-шая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веду-щая</w:t>
            </w:r>
          </w:p>
        </w:tc>
        <w:tc>
          <w:tcPr>
            <w:tcW w:type="dxa" w:w="9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пер-вая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вто-рая</w:t>
            </w:r>
          </w:p>
        </w:tc>
        <w:tc>
          <w:tcPr>
            <w:tcW w:type="dxa" w:w="198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без категории</w:t>
            </w:r>
          </w:p>
        </w:tc>
      </w:tr>
      <w:tr>
        <w:tc>
          <w:tcPr>
            <w:tcW w:type="dxa" w:w="36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  <w:tc>
          <w:tcPr>
            <w:tcW w:type="dxa" w:w="9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</w:t>
            </w:r>
          </w:p>
        </w:tc>
        <w:tc>
          <w:tcPr>
            <w:tcW w:type="dxa" w:w="9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</w:t>
            </w:r>
          </w:p>
        </w:tc>
        <w:tc>
          <w:tcPr>
            <w:tcW w:type="dxa" w:w="198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</w:t>
            </w:r>
          </w:p>
        </w:tc>
      </w:tr>
      <w:tr>
        <w:trHeight w:val="370" w:hRule="atLeast"/>
        <w:tc>
          <w:tcPr>
            <w:tcW w:type="dxa" w:w="9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6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Учебно-вспомогательный персонал образовательных учреждений</w:t>
            </w:r>
          </w:p>
        </w:tc>
      </w:tr>
      <w:tr>
        <w:tc>
          <w:tcPr>
            <w:tcW w:type="dxa" w:w="36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Документовед, бухгалтер, инженер всех специальнос-тей (инженер по охране труда и технике безопас-ности, инженер-электроник, инженер-энергетик, инже-нер-программист, инженер-технолог), художник, библиотекарь, экономист, механик, юрисконсульт, сурдопереводчик</w:t>
            </w:r>
          </w:p>
        </w:tc>
        <w:tc>
          <w:tcPr>
            <w:tcW w:type="dxa" w:w="9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1,79</w:t>
            </w:r>
          </w:p>
        </w:tc>
        <w:tc>
          <w:tcPr>
            <w:tcW w:type="dxa" w:w="9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1,50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1,36</w:t>
            </w:r>
          </w:p>
        </w:tc>
        <w:tc>
          <w:tcPr>
            <w:tcW w:type="dxa" w:w="198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1,30</w:t>
            </w:r>
          </w:p>
        </w:tc>
      </w:tr>
      <w:tr>
        <w:tc>
          <w:tcPr>
            <w:tcW w:type="dxa" w:w="36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Техник, техник-програм-мист, техник по ремонту оборудования</w:t>
            </w:r>
          </w:p>
        </w:tc>
        <w:tc>
          <w:tcPr>
            <w:tcW w:type="dxa" w:w="9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9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1,36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1,30</w:t>
            </w:r>
          </w:p>
        </w:tc>
        <w:tc>
          <w:tcPr>
            <w:tcW w:type="dxa" w:w="198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1,21</w:t>
            </w:r>
          </w:p>
        </w:tc>
      </w:tr>
      <w:tr>
        <w:tc>
          <w:tcPr>
            <w:tcW w:type="dxa" w:w="36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Калькулятор, паспортист, экспедитор по перевозке грузов, помощник воспитателя, санитарка, делопроизводитель, кассир, секретарь-машинистка, младший воспитатель</w:t>
            </w:r>
          </w:p>
        </w:tc>
        <w:tc>
          <w:tcPr>
            <w:tcW w:type="dxa" w:w="9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9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98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1,09</w:t>
            </w:r>
          </w:p>
        </w:tc>
      </w:tr>
      <w:tr>
        <w:tc>
          <w:tcPr>
            <w:tcW w:type="dxa" w:w="36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  <w:tc>
          <w:tcPr>
            <w:tcW w:type="dxa" w:w="9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</w:t>
            </w:r>
          </w:p>
        </w:tc>
        <w:tc>
          <w:tcPr>
            <w:tcW w:type="dxa" w:w="9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</w:t>
            </w:r>
          </w:p>
        </w:tc>
        <w:tc>
          <w:tcPr>
            <w:tcW w:type="dxa" w:w="198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</w:t>
            </w:r>
          </w:p>
        </w:tc>
      </w:tr>
      <w:tr>
        <w:tc>
          <w:tcPr>
            <w:tcW w:type="dxa" w:w="36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Программист, электроник, картограф</w:t>
            </w:r>
          </w:p>
        </w:tc>
        <w:tc>
          <w:tcPr>
            <w:tcW w:type="dxa" w:w="9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2,1</w:t>
            </w:r>
          </w:p>
        </w:tc>
        <w:tc>
          <w:tcPr>
            <w:tcW w:type="dxa" w:w="9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1,79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1,50</w:t>
            </w:r>
          </w:p>
        </w:tc>
        <w:tc>
          <w:tcPr>
            <w:tcW w:type="dxa" w:w="198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1,24</w:t>
            </w:r>
          </w:p>
        </w:tc>
      </w:tr>
      <w:tr>
        <w:tc>
          <w:tcPr>
            <w:tcW w:type="dxa" w:w="36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Архивариус, инспектор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кадрам, заведующий складом, комендант,  дежурный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общежитию, заведующий канцелярией, машинистка, заведующая машинописным бюро, заведующий хозяйством, лаборант (включая старшего), секретарь учебной части (диспетчер)</w:t>
            </w:r>
          </w:p>
        </w:tc>
        <w:tc>
          <w:tcPr>
            <w:tcW w:type="dxa" w:w="9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9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98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1,14</w:t>
            </w:r>
          </w:p>
        </w:tc>
      </w:tr>
      <w:tr>
        <w:tc>
          <w:tcPr>
            <w:tcW w:type="dxa" w:w="36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Специалист по кадрам, аккомпаниатор, психолог</w:t>
            </w:r>
          </w:p>
        </w:tc>
        <w:tc>
          <w:tcPr>
            <w:tcW w:type="dxa" w:w="9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9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98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1,55</w:t>
            </w:r>
          </w:p>
        </w:tc>
      </w:tr>
      <w:tr>
        <w:tc>
          <w:tcPr>
            <w:tcW w:type="dxa" w:w="36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Врач-специалист</w:t>
            </w:r>
          </w:p>
        </w:tc>
        <w:tc>
          <w:tcPr>
            <w:tcW w:type="dxa" w:w="9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2,25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9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2,1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1,94</w:t>
            </w:r>
          </w:p>
        </w:tc>
        <w:tc>
          <w:tcPr>
            <w:tcW w:type="dxa" w:w="198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1,36</w:t>
            </w:r>
          </w:p>
        </w:tc>
      </w:tr>
      <w:tr>
        <w:tc>
          <w:tcPr>
            <w:tcW w:type="dxa" w:w="36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 по спорту, физкультуре (лечебной физкультуре)</w:t>
            </w:r>
          </w:p>
        </w:tc>
        <w:tc>
          <w:tcPr>
            <w:tcW w:type="dxa" w:w="9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1,65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9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1,50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1,36</w:t>
            </w:r>
          </w:p>
        </w:tc>
        <w:tc>
          <w:tcPr>
            <w:tcW w:type="dxa" w:w="198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1,24</w:t>
            </w:r>
          </w:p>
        </w:tc>
      </w:tr>
      <w:tr>
        <w:tc>
          <w:tcPr>
            <w:tcW w:type="dxa" w:w="36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Инструктор-методист по лечебной физкультуре</w:t>
            </w:r>
          </w:p>
        </w:tc>
        <w:tc>
          <w:tcPr>
            <w:tcW w:type="dxa" w:w="9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2,1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9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1,94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1,79</w:t>
            </w:r>
          </w:p>
        </w:tc>
        <w:tc>
          <w:tcPr>
            <w:tcW w:type="dxa" w:w="198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1,65</w:t>
            </w:r>
          </w:p>
        </w:tc>
      </w:tr>
      <w:tr>
        <w:trHeight w:val="352" w:hRule="atLeast"/>
        <w:tc>
          <w:tcPr>
            <w:tcW w:type="dxa" w:w="36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Зубной врач</w:t>
            </w:r>
          </w:p>
        </w:tc>
        <w:tc>
          <w:tcPr>
            <w:tcW w:type="dxa" w:w="9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1,94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9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1,79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1,64</w:t>
            </w:r>
          </w:p>
        </w:tc>
        <w:tc>
          <w:tcPr>
            <w:tcW w:type="dxa" w:w="198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1,50</w:t>
            </w:r>
          </w:p>
        </w:tc>
      </w:tr>
      <w:tr>
        <w:trHeight w:val="352" w:hRule="atLeast"/>
        <w:tc>
          <w:tcPr>
            <w:tcW w:type="dxa" w:w="36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Медицинская сестра</w:t>
            </w:r>
          </w:p>
        </w:tc>
        <w:tc>
          <w:tcPr>
            <w:tcW w:type="dxa" w:w="9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1,79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9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1,64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1,36</w:t>
            </w:r>
          </w:p>
        </w:tc>
        <w:tc>
          <w:tcPr>
            <w:tcW w:type="dxa" w:w="198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1,24</w:t>
            </w:r>
          </w:p>
        </w:tc>
      </w:tr>
    </w:tbl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  <w:titlePg/>
      <w:headerReference w:type="default" r:id="rId5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framePr w:hAnchor="margin" w:xAlign="center" w:vAnchor="text" w:y="0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  <w:fldSimple w:instr="PAGE">
      <w:r>
        <w:rPr>
          <w:rFonts w:ascii="Times New Roman" w:eastAsia="Times New Roman" w:hAnsi="Times New Roman" w:cs="Times New Roman"/>
          <w:sz w:val="24"/>
        </w:rPr>
        <w:t xml:space="preserve">5</w:t>
      </w:r>
    </w:fldSimple>
  </w:p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hyperlink" Target="consultantplus://offline/main?base=RLAW127;n=15563;fld=134;dst=100311" TargetMode="External"/><Relationship Id="rId3" Type="http://schemas.openxmlformats.org/officeDocument/2006/relationships/hyperlink" Target="consultantplus://offline/main?base=RLAW127;n=15563;fld=134;dst=100323" TargetMode="External"/><Relationship Id="rId4" Type="http://schemas.openxmlformats.org/officeDocument/2006/relationships/theme" Target="theme/theme1.xml"/><Relationship Id="rId5" Type="http://schemas.openxmlformats.org/officeDocument/2006/relationships/header" Target="header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styles" Target="styles.xml"/><Relationship Id="rId9" Type="http://schemas.openxmlformats.org/officeDocument/2006/relationships/fontTable" Target="fontTable.xml"/><Relationship Id="rId1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5</Pages>
  <Words>907</Words>
  <Characters>5171</Characters>
  <CharactersWithSpaces>6066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kiv</dc:creator>
</cp:coreProperties>
</file>