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p>
      <w:pPr>
        <w:jc w:val="center"/>
        <w:textAlignment w:val="auto"/>
        <w:ind w:left="4680" w:right="0" w:start="4680" w:end="0"/>
        <w:adjustRightInd w:val="true"/>
        <w:spacing w:after="0"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РОССИЙСКАЯ ФЕДЕРАЦИЯ</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ОРЛОВСКАЯ ОБЛАСТЬ</w:t>
      </w:r>
    </w:p>
    <w:p>
      <w:pPr>
        <w:jc w:val="center"/>
        <w:textAlignment w:val="auto"/>
        <w:ind w:left="0" w:right="0" w:start="0" w:end="0"/>
        <w:adjustRightInd w:val="true"/>
        <w:spacing w:after="0" w:line="240"/>
        <w:bidi w:val="false"/>
        <w:pBdr>
          <w:bottom w:sz="12" w:space="1" w:val="single"/>
        </w:pBdr>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АДМИНИСТРАЦИЯ ТРОСНЯНСКОГО РАЙОНА</w:t>
      </w: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ПОСТАНОВЛЕНИЕ</w:t>
      </w:r>
    </w:p>
    <w:p>
      <w:pPr>
        <w:jc w:val="center"/>
        <w:textAlignment w:val="auto"/>
        <w:ind w:left="0" w:right="0" w:start="0" w:end="0"/>
        <w:adjustRightInd w:val="true"/>
        <w:spacing w:after="0" w:line="240"/>
        <w:bidi w:val="false"/>
        <w:rPr>
          <w:rFonts w:ascii="Times New Roman" w:eastAsia="Times New Roman" w:hAnsi="Times New Roman" w:cs="Times New Roman"/>
          <w:sz w:val="10"/>
          <w:i w:val="true"/>
        </w:rPr>
      </w:pPr>
    </w:p>
    <w:p>
      <w:pPr>
        <w:jc w:val="center"/>
        <w:textAlignment w:val="auto"/>
        <w:ind w:left="0" w:right="0" w:start="0" w:end="0"/>
        <w:adjustRightInd w:val="true"/>
        <w:spacing w:after="0" w:line="240"/>
        <w:bidi w:val="false"/>
        <w:rPr>
          <w:rFonts w:ascii="Times New Roman" w:eastAsia="Times New Roman" w:hAnsi="Times New Roman" w:cs="Times New Roman"/>
          <w:sz w:val="4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 29 ноября   2011  г.                                                                                                            № 344</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с.Тросна</w:t>
      </w:r>
    </w:p>
    <w:p>
      <w:pPr>
        <w:jc w:val="left"/>
        <w:textAlignment w:val="auto"/>
        <w:ind w:left="0" w:right="0" w:start="0" w:end="0"/>
        <w:adjustRightInd w:val="true"/>
        <w:spacing w:after="0" w:line="240"/>
        <w:bidi w:val="false"/>
        <w:rPr>
          <w:rFonts w:ascii="Times New Roman" w:eastAsia="Times New Roman" w:hAnsi="Times New Roman" w:cs="Times New Roman"/>
          <w:sz w:val="20"/>
        </w:rPr>
      </w:pPr>
    </w:p>
    <w:p>
      <w:pPr>
        <w:jc w:val="left"/>
        <w:textAlignment w:val="auto"/>
        <w:ind w:left="0" w:right="0" w:start="0" w:end="0"/>
        <w:adjustRightInd w:val="true"/>
        <w:spacing w:after="0" w:line="240"/>
        <w:bidi w:val="false"/>
        <w:rPr>
          <w:rFonts w:ascii="Times New Roman" w:eastAsia="Times New Roman" w:hAnsi="Times New Roman" w:cs="Times New Roman"/>
          <w:sz w:val="20"/>
        </w:rPr>
      </w:pPr>
    </w:p>
    <w:p>
      <w:pPr>
        <w:jc w:val="both"/>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4"/>
        </w:rPr>
        <w:t xml:space="preserve"> </w:t>
      </w:r>
      <w:r>
        <w:rPr>
          <w:b w:val="true"/>
          <w:rFonts w:ascii="Times New Roman" w:eastAsia="Times New Roman" w:hAnsi="Times New Roman" w:cs="Times New Roman"/>
          <w:sz w:val="28"/>
        </w:rPr>
        <w:t xml:space="preserve">Об утверждении  схем размещения</w:t>
      </w:r>
    </w:p>
    <w:p>
      <w:pPr>
        <w:jc w:val="both"/>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 нестационарных торговых объектов</w:t>
      </w:r>
    </w:p>
    <w:p>
      <w:pPr>
        <w:jc w:val="both"/>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 на территории Троснянского района</w:t>
      </w:r>
    </w:p>
    <w:p>
      <w:pPr>
        <w:jc w:val="both"/>
        <w:textAlignment w:val="auto"/>
        <w:ind w:firstLine="567"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Федеральным законом от 06 октября 2003 года № 131-ФЗ « Об общих принципах организации местного самоуправления в Российской Федерации» ,  Федеральным законом от 07 февраля 1992 года № 2300-1 « О защите прав потребителей», Приказа Департамента экономики Орловской области  от 31 марта 2011 года № 227 « Об утверждении Порядка разработки органами местного самоуправления муниципальных образований Орловской  области схемы размещения нестационарных торговых объектов», администрация Троснянского района </w:t>
      </w:r>
    </w:p>
    <w:p>
      <w:pPr>
        <w:jc w:val="both"/>
        <w:textAlignment w:val="auto"/>
        <w:ind w:firstLine="567"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ПОСТАНОВЛЯЕТ:</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1.Утвердить схему размещения нестационарных торговых объектов на территории Троснянского района ( Приложение 1).</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2.Постановление подлежит опубликованию, а также размещению на  официальном сайте администрации Троснянского района.</w:t>
      </w:r>
    </w:p>
    <w:p>
      <w:pPr>
        <w:jc w:val="both"/>
        <w:textAlignment w:val="auto"/>
        <w:ind w:firstLine="567"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3.Контроль за исполнением постановления возложить на заместителя</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главы администрации</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Троснянского района Борисову Л.С</w:t>
      </w:r>
    </w:p>
    <w:p>
      <w:pPr>
        <w:jc w:val="left"/>
        <w:textAlignment w:val="auto"/>
        <w:ind w:left="0" w:right="0" w:start="0" w:end="0"/>
        <w:adjustRightInd w:val="true"/>
        <w:spacing w:before="100" w:after="100" w:beforeAutospacing="1" w:afterAutospacing="1"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Глава администрации</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А.И. Насонов</w:t>
      </w:r>
    </w:p>
    <w:p>
      <w:pPr>
        <w:jc w:val="righ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color w:val="000000"/>
        </w:rPr>
      </w:pPr>
    </w:p>
    <w:p>
      <w:pPr>
        <w:jc w:val="left"/>
        <w:textAlignment w:val="auto"/>
        <w:ind w:left="0" w:right="0" w:start="0" w:end="0"/>
        <w:adjustRightInd w:val="true"/>
        <w:spacing w:after="0" w:line="240"/>
        <w:bidi w:val="false"/>
        <w:rPr>
          <w:rFonts w:ascii="Times New Roman" w:eastAsia="Times New Roman" w:hAnsi="Times New Roman" w:cs="Times New Roman"/>
          <w:sz w:val="24"/>
          <w:color w:val="000000"/>
        </w:rPr>
      </w:pP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color w:val="000000"/>
        </w:rPr>
        <w:t xml:space="preserve">                                                                                                                   Приложение 1</w:t>
      </w:r>
      <w:r>
        <w:rPr>
          <w:rFonts w:ascii="Times New Roman" w:eastAsia="Times New Roman" w:hAnsi="Times New Roman" w:cs="Times New Roman"/>
          <w:sz w:val="24"/>
        </w:rPr>
        <w:t xml:space="preserve"> </w:t>
      </w:r>
    </w:p>
    <w:p>
      <w:pPr>
        <w:jc w:val="right"/>
        <w:textAlignment w:val="auto"/>
        <w:ind w:firstLine="698"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color w:val="000000"/>
        </w:rPr>
        <w:t xml:space="preserve">к</w:t>
      </w:r>
      <w:r>
        <w:rPr>
          <w:rFonts w:ascii="Times New Roman" w:eastAsia="Times New Roman" w:hAnsi="Times New Roman" w:cs="Times New Roman"/>
          <w:sz w:val="24"/>
          <w:color w:val="000000"/>
        </w:rPr>
        <w:t xml:space="preserve"> </w:t>
      </w:r>
      <w:r>
        <w:rPr>
          <w:rFonts w:ascii="Times New Roman" w:eastAsia="Times New Roman" w:hAnsi="Times New Roman" w:cs="Times New Roman"/>
          <w:sz w:val="24"/>
          <w:color w:val="000000"/>
        </w:rPr>
        <w:t xml:space="preserve"> </w:t>
      </w:r>
      <w:r>
        <w:rPr>
          <w:rFonts w:ascii="Times New Roman" w:eastAsia="Times New Roman" w:hAnsi="Times New Roman" w:cs="Times New Roman"/>
          <w:sz w:val="24"/>
        </w:rPr>
        <w:t xml:space="preserve">постановлению</w:t>
      </w:r>
      <w:r>
        <w:rPr>
          <w:rFonts w:ascii="Times New Roman" w:eastAsia="Times New Roman" w:hAnsi="Times New Roman" w:cs="Times New Roman"/>
          <w:sz w:val="24"/>
          <w:color w:val="000000"/>
        </w:rPr>
        <w:t xml:space="preserve"> </w:t>
      </w:r>
      <w:r>
        <w:rPr>
          <w:rFonts w:ascii="Times New Roman" w:eastAsia="Times New Roman" w:hAnsi="Times New Roman" w:cs="Times New Roman"/>
          <w:sz w:val="24"/>
          <w:color w:val="000000"/>
        </w:rPr>
        <w:t xml:space="preserve"> </w:t>
      </w:r>
      <w:r>
        <w:rPr>
          <w:rFonts w:ascii="Times New Roman" w:eastAsia="Times New Roman" w:hAnsi="Times New Roman" w:cs="Times New Roman"/>
          <w:sz w:val="24"/>
          <w:color w:val="000000"/>
        </w:rPr>
        <w:t xml:space="preserve"> администрации </w:t>
      </w:r>
    </w:p>
    <w:p>
      <w:pPr>
        <w:jc w:val="right"/>
        <w:textAlignment w:val="auto"/>
        <w:ind w:firstLine="698"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color w:val="000000"/>
        </w:rPr>
        <w:t xml:space="preserve">Троснянского района</w:t>
      </w:r>
      <w:r>
        <w:rPr>
          <w:rFonts w:ascii="Times New Roman" w:eastAsia="Times New Roman" w:hAnsi="Times New Roman" w:cs="Times New Roman"/>
          <w:sz w:val="24"/>
        </w:rPr>
        <w:t xml:space="preserve"> </w:t>
      </w:r>
    </w:p>
    <w:p>
      <w:pPr>
        <w:jc w:val="right"/>
        <w:textAlignment w:val="auto"/>
        <w:ind w:firstLine="698" w:left="0" w:right="0" w:start="0" w:end="0"/>
        <w:adjustRightInd w:val="true"/>
        <w:spacing w:before="100" w:after="100" w:beforeAutospacing="1" w:afterAutospacing="1" w:line="240"/>
        <w:bidi w:val="false"/>
        <w:tabs>
          <w:tab w:val="left" w:pos="6368"/>
          <w:tab w:val="right" w:pos="9355"/>
        </w:tabs>
        <w:rPr>
          <w:rFonts w:ascii="Times New Roman" w:eastAsia="Times New Roman" w:hAnsi="Times New Roman" w:cs="Times New Roman"/>
          <w:sz w:val="24"/>
        </w:rPr>
      </w:pPr>
      <w:r>
        <w:rPr>
          <w:rFonts w:ascii="Times New Roman" w:eastAsia="Times New Roman" w:hAnsi="Times New Roman" w:cs="Times New Roman"/>
          <w:sz w:val="24"/>
          <w:color w:val="000000"/>
        </w:rPr>
        <w:t xml:space="preserve">                                                                                  от 29 ноября  2011 г. № 344</w:t>
      </w:r>
    </w:p>
    <w:p>
      <w:pPr>
        <w:jc w:val="both"/>
        <w:textAlignment w:val="auto"/>
        <w:ind w:firstLine="720" w:left="0" w:right="0" w:start="0" w:end="0"/>
        <w:adjustRightInd w:val="true"/>
        <w:spacing w:before="27" w:after="27"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w:t>
      </w:r>
    </w:p>
    <w:p>
      <w:pPr>
        <w:jc w:val="center"/>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ПОРЯДОК</w:t>
      </w:r>
    </w:p>
    <w:p>
      <w:pPr>
        <w:jc w:val="center"/>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разработки и утверждения схемы размещения </w:t>
      </w:r>
    </w:p>
    <w:p>
      <w:pPr>
        <w:jc w:val="center"/>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нестационарных торговых объектов</w:t>
      </w:r>
    </w:p>
    <w:p>
      <w:pPr>
        <w:jc w:val="center"/>
        <w:textAlignment w:val="auto"/>
        <w:ind w:left="0" w:right="0" w:start="0" w:end="0"/>
        <w:adjustRightInd w:val="true"/>
        <w:spacing w:before="100" w:after="100" w:beforeAutospacing="1" w:afterAutospacing="1"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1. Общие положения:</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1.1. Порядок разработки и утверждения схемы размещения нестационарных торговых объектов (далее - Порядок) разработан в целях реализации требований Федерального закона от 28 декабря 2009 года № 381-ФЗ «Об основах государственного регулирования торговой деятельности в Российской Федерации».</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1.2. Требования Порядка не распространяются на отношения, связанные с размещением нестационарных торговых объектов:</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на розничных рынках и ярмарках, в том числе универсальных ярмарках </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при проведении праздничных, общественно-политических, культурно-массовых и спортивных мероприятий, имеющих временный характер;</w:t>
      </w:r>
    </w:p>
    <w:p>
      <w:pPr>
        <w:jc w:val="center"/>
        <w:textAlignment w:val="auto"/>
        <w:ind w:left="0" w:right="0" w:start="0" w:end="0"/>
        <w:adjustRightInd w:val="true"/>
        <w:spacing w:before="100" w:after="100" w:beforeAutospacing="1" w:afterAutospacing="1"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2. Основные понятия</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Для целей Порядка используются следующие основные понятия:</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b w:val="true"/>
          <w:rFonts w:ascii="Times New Roman" w:eastAsia="Times New Roman" w:hAnsi="Times New Roman" w:cs="Times New Roman"/>
          <w:sz w:val="28"/>
        </w:rPr>
        <w:t xml:space="preserve">нестационарный торговый объект</w:t>
      </w:r>
      <w:r>
        <w:rPr>
          <w:rFonts w:ascii="Times New Roman" w:eastAsia="Times New Roman" w:hAnsi="Times New Roman" w:cs="Times New Roman"/>
          <w:sz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торговым объектам относятся павильоны, киоски, палатки, лотки, площадки для сезонной торговли, тонары, объекты развозной и разносной торговли и другие;</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b w:val="true"/>
          <w:rFonts w:ascii="Times New Roman" w:eastAsia="Times New Roman" w:hAnsi="Times New Roman" w:cs="Times New Roman"/>
          <w:sz w:val="28"/>
        </w:rPr>
        <w:t xml:space="preserve">схема размещения нестационарных торговых объектов</w:t>
      </w:r>
      <w:r>
        <w:rPr>
          <w:rFonts w:ascii="Times New Roman" w:eastAsia="Times New Roman" w:hAnsi="Times New Roman" w:cs="Times New Roman"/>
          <w:sz w:val="28"/>
        </w:rPr>
        <w:t xml:space="preserve"> - схема, определяющая места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r>
        <w:rPr>
          <w:rFonts w:ascii="Times New Roman" w:eastAsia="Times New Roman" w:hAnsi="Times New Roman" w:cs="Times New Roman"/>
          <w:sz w:val="28"/>
        </w:rPr>
        <w:t xml:space="preserve"> </w:t>
      </w:r>
    </w:p>
    <w:p>
      <w:pPr>
        <w:jc w:val="center"/>
        <w:textAlignment w:val="auto"/>
        <w:ind w:left="0" w:right="0" w:start="0" w:end="0"/>
        <w:adjustRightInd w:val="true"/>
        <w:spacing w:before="100" w:after="100" w:beforeAutospacing="1" w:afterAutospacing="1"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 Требования к порядку разработки и утверждения</w:t>
      </w:r>
    </w:p>
    <w:p>
      <w:pPr>
        <w:jc w:val="center"/>
        <w:textAlignment w:val="auto"/>
        <w:ind w:left="0" w:right="0" w:start="0" w:end="0"/>
        <w:adjustRightInd w:val="true"/>
        <w:spacing w:before="100" w:after="100" w:beforeAutospacing="1" w:afterAutospacing="1"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схемы размещения нестационарных торговых объектов</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3.1. Размещение нестационарных торговых объектов на земельных участках, в зданиях, строениях, сооружениях, находящихся в</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муниципальной собственности, осуществляется в соответствии со схемой размещения нестационарных торговых объектов с учетом обеспечения устойчивого развития территории Троснянского района</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и достижения нормативов минимальной обеспеченности населения площадью торговых объектов.</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3.2.</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Включение нестационарных торговых объектов, расположенных на земельных участках, в зданиях, сооружениях, находящихся в государственной собственности, в схему размещения нестационарных торговых объектов производится в соответствии с порядком, установленным Правительством Российской Федерации.</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3.3. Разработанная схема размещения нестационарных торговых объектов должна обеспечивать:</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восполнение недостатка стационарной торговой сети;</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повышение доступности товаров для населения;</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содействие развитию торговли товарами российских производителей, в том числе производителей Троснянского района.</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3.4. Схема размещения нестационарных торговых объектов должна содержать адресный ориентир, тип нестационарных торговых объектов (павильон, киоск,  тонар, торговая площадка и т.д.), вид собственности земельного участка на которых предлагается расположить нестационарный торговый объект, предполагаемый ассортимент реализуемых товаров, предоставляемая площадь для размещения нестационарного торгового объекта, режим работы нестационарного торгового объекта, планируемый срок размещения, графическую часть в виде карты с предусмотренными на ней местом размещения нестационарного торгового объекта.</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3.5.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pPr>
        <w:jc w:val="both"/>
        <w:textAlignment w:val="auto"/>
        <w:ind w:firstLine="709" w:left="0" w:right="0" w:start="0" w:end="0"/>
        <w:adjustRightInd w:val="true"/>
        <w:spacing w:before="100" w:after="100" w:beforeAutospacing="1" w:afterAutospacing="1" w:line="240"/>
        <w:bidi w:val="false"/>
        <w:rPr>
          <w:rFonts w:ascii="Times New Roman" w:eastAsia="Times New Roman" w:hAnsi="Times New Roman" w:cs="Times New Roman"/>
          <w:sz w:val="28"/>
        </w:rPr>
      </w:pP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w:t>
      </w:r>
    </w:p>
    <w:p>
      <w:pPr>
        <w:jc w:val="left"/>
        <w:textAlignment w:val="auto"/>
        <w:ind w:left="0" w:right="0" w:start="0" w:end="0"/>
        <w:adjustRightInd w:val="true"/>
        <w:spacing w:before="100" w:after="100" w:beforeAutospacing="1" w:afterAutospacing="1"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w:t>
      </w:r>
    </w:p>
    <w:p>
      <w:pPr>
        <w:jc w:val="left"/>
        <w:textAlignment w:val="auto"/>
        <w:ind w:left="0" w:right="0" w:start="0" w:end="0"/>
        <w:adjustRightInd w:val="true"/>
        <w:spacing w:after="0" w:line="240"/>
        <w:bidi w:val="false"/>
        <w:rPr>
          <w:rFonts w:ascii="Times New Roman" w:eastAsia="Times New Roman" w:hAnsi="Times New Roman" w:cs="Times New Roman"/>
          <w:sz w:val="24"/>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p>
    <w:sectPr>
      <w:cols w:num="1" w:space="708" w:equalWidth="true"/>
      <w:footnotePr>
        <w:pos w:val="pageBottom"/>
      </w:footnotePr>
      <w:lnNumType w:distance="0"/>
      <w:pgSz w:w="11906" w:h="16838"/>
      <w:pgMar w:left="1701" w:right="850" w:top="899" w:bottom="1134" w:gutter="0" w:header="708" w:footer="708"/>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Cambria Math">
    <w:panose1 w:val="02040503050406030204"/>
    <w:family w:val="roman"/>
    <w:charset w:val="CC"/>
    <w:pitch w:val="variable"/>
  </w:font>
  <w:font w:name="Tahoma">
    <w:panose1 w:val="020b060403050404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Math">
    <w:family w:val="roman"/>
    <w:charset w:val="00"/>
    <w:pitch w:val="variable"/>
  </w:font>
  <w:font w:name="Cambria Math CE">
    <w:family w:val="roman"/>
    <w:charset w:val="EE"/>
    <w:pitch w:val="variable"/>
  </w:font>
  <w:font w:name="Cambria Math Greek">
    <w:family w:val="roman"/>
    <w:charset w:val="A1"/>
    <w:pitch w:val="variable"/>
  </w:font>
  <w:font w:name="Cambria Math Tur">
    <w:family w:val="roman"/>
    <w:charset w:val="A2"/>
    <w:pitch w:val="variable"/>
  </w:font>
  <w:font w:name="Cambria Math Baltic">
    <w:family w:val="roman"/>
    <w:charset w:val="BA"/>
    <w:pitch w:val="variable"/>
  </w:font>
  <w:font w:name="Cambria Math (Vietnamese)">
    <w:family w:val="roman"/>
    <w:charset w:val="A3"/>
    <w:pitch w:val="variable"/>
  </w:font>
  <w:font w:name="Tahoma">
    <w:family w:val="swiss"/>
    <w:charset w:val="00"/>
    <w:pitch w:val="variable"/>
  </w:font>
  <w:font w:name="Tahoma CE">
    <w:family w:val="swiss"/>
    <w:charset w:val="EE"/>
    <w:pitch w:val="variable"/>
  </w:font>
  <w:font w:name="Tahoma Greek">
    <w:family w:val="swiss"/>
    <w:charset w:val="A1"/>
    <w:pitch w:val="variable"/>
  </w:font>
  <w:font w:name="Tahoma Tur">
    <w:family w:val="swiss"/>
    <w:charset w:val="A2"/>
    <w:pitch w:val="variable"/>
  </w:font>
  <w:font w:name="Tahoma (Hebrew)">
    <w:family w:val="swiss"/>
    <w:charset w:val="B1"/>
    <w:pitch w:val="variable"/>
  </w:font>
  <w:font w:name="Tahoma (Arabic)">
    <w:family w:val="swiss"/>
    <w:charset w:val="B2"/>
    <w:pitch w:val="variable"/>
  </w:font>
  <w:font w:name="Tahoma Baltic">
    <w:family w:val="swiss"/>
    <w:charset w:val="BA"/>
    <w:pitch w:val="variable"/>
  </w:font>
  <w:font w:name="Tahoma (Vietnamese)">
    <w:family w:val="swiss"/>
    <w:charset w:val="A3"/>
    <w:pitch w:val="variable"/>
  </w:font>
  <w:font w:name="Tahoma (Thai)">
    <w:family w:val="swiss"/>
    <w:charset w:val="DE"/>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1</TotalTime>
  <Pages>4</Pages>
  <Words>790</Words>
  <Characters>4504</Characters>
  <CharactersWithSpaces>5284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Тестовая версия</dc:creator>
</cp:coreProperties>
</file>