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53" w:rsidRDefault="0058013B" w:rsidP="0076255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553">
        <w:rPr>
          <w:b/>
          <w:noProof/>
        </w:rPr>
        <w:t xml:space="preserve">                 </w:t>
      </w:r>
    </w:p>
    <w:p w:rsidR="00762553" w:rsidRDefault="00762553" w:rsidP="00762553">
      <w:pPr>
        <w:ind w:left="4680"/>
        <w:jc w:val="center"/>
        <w:rPr>
          <w:b/>
        </w:rPr>
      </w:pPr>
    </w:p>
    <w:p w:rsidR="00762553" w:rsidRDefault="00762553" w:rsidP="00762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62553" w:rsidRDefault="00762553" w:rsidP="00762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62553" w:rsidRDefault="00762553" w:rsidP="00762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762553" w:rsidRDefault="00762553" w:rsidP="00762553">
      <w:pPr>
        <w:jc w:val="center"/>
        <w:rPr>
          <w:b/>
          <w:sz w:val="28"/>
          <w:szCs w:val="28"/>
        </w:rPr>
      </w:pPr>
    </w:p>
    <w:p w:rsidR="00762553" w:rsidRDefault="00762553" w:rsidP="00762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2553" w:rsidRDefault="00762553" w:rsidP="00762553">
      <w:pPr>
        <w:jc w:val="center"/>
        <w:rPr>
          <w:b/>
          <w:sz w:val="28"/>
          <w:szCs w:val="28"/>
        </w:rPr>
      </w:pPr>
    </w:p>
    <w:p w:rsidR="00762553" w:rsidRDefault="00762553" w:rsidP="00762553">
      <w:pPr>
        <w:ind w:right="55"/>
        <w:jc w:val="center"/>
        <w:rPr>
          <w:sz w:val="20"/>
          <w:szCs w:val="20"/>
        </w:rPr>
      </w:pPr>
    </w:p>
    <w:p w:rsidR="00762553" w:rsidRPr="00762553" w:rsidRDefault="00762553" w:rsidP="00762553">
      <w:pPr>
        <w:ind w:right="55"/>
        <w:rPr>
          <w:sz w:val="28"/>
          <w:szCs w:val="28"/>
        </w:rPr>
      </w:pPr>
      <w:r w:rsidRPr="00762553">
        <w:rPr>
          <w:sz w:val="28"/>
          <w:szCs w:val="28"/>
        </w:rPr>
        <w:t xml:space="preserve">от </w:t>
      </w:r>
      <w:r w:rsidR="00804A0A">
        <w:rPr>
          <w:sz w:val="28"/>
          <w:szCs w:val="28"/>
        </w:rPr>
        <w:t xml:space="preserve">  20 апреля</w:t>
      </w:r>
      <w:r w:rsidRPr="00762553">
        <w:rPr>
          <w:sz w:val="28"/>
          <w:szCs w:val="28"/>
        </w:rPr>
        <w:t xml:space="preserve">  2016 года                  </w:t>
      </w:r>
      <w:r w:rsidR="00804A0A">
        <w:rPr>
          <w:sz w:val="28"/>
          <w:szCs w:val="28"/>
        </w:rPr>
        <w:t xml:space="preserve">           </w:t>
      </w:r>
      <w:r w:rsidRPr="00762553">
        <w:rPr>
          <w:sz w:val="28"/>
          <w:szCs w:val="28"/>
        </w:rPr>
        <w:t xml:space="preserve">                                                 № 428</w:t>
      </w:r>
    </w:p>
    <w:p w:rsidR="00762553" w:rsidRPr="00762553" w:rsidRDefault="00762553" w:rsidP="00762553">
      <w:pPr>
        <w:rPr>
          <w:sz w:val="28"/>
          <w:szCs w:val="28"/>
        </w:rPr>
      </w:pPr>
      <w:r w:rsidRPr="00762553">
        <w:rPr>
          <w:sz w:val="28"/>
          <w:szCs w:val="28"/>
        </w:rPr>
        <w:t xml:space="preserve">             с.Тросна</w:t>
      </w:r>
    </w:p>
    <w:p w:rsidR="00762553" w:rsidRDefault="00762553" w:rsidP="00762553">
      <w:pPr>
        <w:rPr>
          <w:sz w:val="28"/>
          <w:szCs w:val="28"/>
        </w:rPr>
      </w:pPr>
    </w:p>
    <w:p w:rsidR="00762553" w:rsidRDefault="00762553" w:rsidP="00762553">
      <w:pPr>
        <w:pStyle w:val="a3"/>
        <w:jc w:val="center"/>
        <w:rPr>
          <w:sz w:val="28"/>
          <w:szCs w:val="28"/>
        </w:rPr>
      </w:pPr>
    </w:p>
    <w:p w:rsidR="00762553" w:rsidRPr="00623C06" w:rsidRDefault="00762553" w:rsidP="007625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623C06">
        <w:rPr>
          <w:sz w:val="28"/>
          <w:szCs w:val="28"/>
        </w:rPr>
        <w:t xml:space="preserve">Принято на сорок первом   заседании                     </w:t>
      </w:r>
    </w:p>
    <w:p w:rsidR="00762553" w:rsidRPr="009B1EB4" w:rsidRDefault="00762553" w:rsidP="00762553">
      <w:pPr>
        <w:pStyle w:val="a3"/>
        <w:jc w:val="right"/>
        <w:rPr>
          <w:szCs w:val="28"/>
        </w:rPr>
      </w:pPr>
      <w:r w:rsidRPr="00623C06">
        <w:rPr>
          <w:sz w:val="28"/>
          <w:szCs w:val="28"/>
        </w:rPr>
        <w:t xml:space="preserve">                                                 районного Совета народных депутатов   </w:t>
      </w:r>
      <w:r w:rsidRPr="009B1EB4">
        <w:rPr>
          <w:szCs w:val="28"/>
        </w:rPr>
        <w:t xml:space="preserve">                </w:t>
      </w:r>
    </w:p>
    <w:p w:rsidR="00762553" w:rsidRPr="009B1EB4" w:rsidRDefault="00762553" w:rsidP="0076255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9B1EB4">
        <w:rPr>
          <w:sz w:val="28"/>
          <w:szCs w:val="28"/>
        </w:rPr>
        <w:t>четвёртого созыва</w:t>
      </w:r>
      <w:r w:rsidRPr="009B1EB4">
        <w:rPr>
          <w:b/>
          <w:bCs/>
          <w:kern w:val="32"/>
          <w:sz w:val="28"/>
          <w:szCs w:val="28"/>
        </w:rPr>
        <w:t xml:space="preserve"> </w:t>
      </w:r>
    </w:p>
    <w:p w:rsidR="00762553" w:rsidRDefault="00762553" w:rsidP="001002EE">
      <w:pPr>
        <w:pStyle w:val="ConsPlusTitle"/>
        <w:widowControl/>
        <w:rPr>
          <w:sz w:val="24"/>
          <w:szCs w:val="24"/>
        </w:rPr>
      </w:pPr>
    </w:p>
    <w:p w:rsidR="009C3588" w:rsidRDefault="00762553" w:rsidP="001002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62553">
        <w:rPr>
          <w:rFonts w:ascii="Times New Roman" w:hAnsi="Times New Roman" w:cs="Times New Roman"/>
          <w:sz w:val="28"/>
          <w:szCs w:val="28"/>
        </w:rPr>
        <w:t xml:space="preserve">О </w:t>
      </w:r>
      <w:r w:rsidR="009C3588">
        <w:rPr>
          <w:rFonts w:ascii="Times New Roman" w:hAnsi="Times New Roman" w:cs="Times New Roman"/>
          <w:sz w:val="28"/>
          <w:szCs w:val="28"/>
        </w:rPr>
        <w:t>предоставлении</w:t>
      </w:r>
    </w:p>
    <w:p w:rsidR="00CE137A" w:rsidRPr="00762553" w:rsidRDefault="001002EE" w:rsidP="001002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62553">
        <w:rPr>
          <w:rFonts w:ascii="Times New Roman" w:hAnsi="Times New Roman" w:cs="Times New Roman"/>
          <w:sz w:val="28"/>
          <w:szCs w:val="28"/>
        </w:rPr>
        <w:t xml:space="preserve">муниципальных гарантий </w:t>
      </w:r>
    </w:p>
    <w:p w:rsidR="00CE137A" w:rsidRPr="00762553" w:rsidRDefault="00D73CF6" w:rsidP="001002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762553">
        <w:rPr>
          <w:rFonts w:ascii="Times New Roman" w:hAnsi="Times New Roman" w:cs="Times New Roman"/>
          <w:sz w:val="28"/>
          <w:szCs w:val="28"/>
        </w:rPr>
        <w:t>Т</w:t>
      </w:r>
      <w:r w:rsidR="001002EE" w:rsidRPr="00762553">
        <w:rPr>
          <w:rFonts w:ascii="Times New Roman" w:hAnsi="Times New Roman" w:cs="Times New Roman"/>
          <w:sz w:val="28"/>
          <w:szCs w:val="28"/>
        </w:rPr>
        <w:t>роснянского района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553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порядка предоставления </w:t>
      </w:r>
      <w:r w:rsidR="00D73CF6" w:rsidRPr="00762553">
        <w:rPr>
          <w:rFonts w:ascii="Times New Roman" w:hAnsi="Times New Roman" w:cs="Times New Roman"/>
          <w:sz w:val="28"/>
          <w:szCs w:val="28"/>
        </w:rPr>
        <w:t>муниципальных гарантий Троснянского района</w:t>
      </w:r>
      <w:r w:rsidRPr="00762553">
        <w:rPr>
          <w:rFonts w:ascii="Times New Roman" w:hAnsi="Times New Roman" w:cs="Times New Roman"/>
          <w:sz w:val="28"/>
          <w:szCs w:val="28"/>
        </w:rPr>
        <w:t xml:space="preserve">, на основании статей 115, 115.1, 115.2 и 117 Бюджетного кодекса Российской Федерации, </w:t>
      </w:r>
      <w:r w:rsidR="00762553">
        <w:rPr>
          <w:rFonts w:ascii="Times New Roman" w:hAnsi="Times New Roman" w:cs="Times New Roman"/>
          <w:sz w:val="28"/>
          <w:szCs w:val="28"/>
        </w:rPr>
        <w:t>Федеральн</w:t>
      </w:r>
      <w:r w:rsidR="00611736">
        <w:rPr>
          <w:rFonts w:ascii="Times New Roman" w:hAnsi="Times New Roman" w:cs="Times New Roman"/>
          <w:sz w:val="28"/>
          <w:szCs w:val="28"/>
        </w:rPr>
        <w:t>ого</w:t>
      </w:r>
      <w:r w:rsidR="0076255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1736">
        <w:rPr>
          <w:rFonts w:ascii="Times New Roman" w:hAnsi="Times New Roman" w:cs="Times New Roman"/>
          <w:sz w:val="28"/>
          <w:szCs w:val="28"/>
        </w:rPr>
        <w:t xml:space="preserve">а от 25.02.1999 года № 39-ФЗ « Об инвестиционной </w:t>
      </w:r>
      <w:r w:rsidR="00762553">
        <w:rPr>
          <w:rFonts w:ascii="Times New Roman" w:hAnsi="Times New Roman" w:cs="Times New Roman"/>
          <w:sz w:val="28"/>
          <w:szCs w:val="28"/>
        </w:rPr>
        <w:t xml:space="preserve"> </w:t>
      </w:r>
      <w:r w:rsidR="00611736">
        <w:rPr>
          <w:rFonts w:ascii="Times New Roman" w:hAnsi="Times New Roman" w:cs="Times New Roman"/>
          <w:sz w:val="28"/>
          <w:szCs w:val="28"/>
        </w:rPr>
        <w:t xml:space="preserve">деятельности в Российской Федерации, осуществляемой в форме капитальных вложений» </w:t>
      </w:r>
      <w:r w:rsidR="009C3588">
        <w:rPr>
          <w:rFonts w:ascii="Times New Roman" w:hAnsi="Times New Roman" w:cs="Times New Roman"/>
          <w:sz w:val="28"/>
          <w:szCs w:val="28"/>
        </w:rPr>
        <w:t xml:space="preserve">и </w:t>
      </w:r>
      <w:r w:rsidR="00611736">
        <w:rPr>
          <w:rFonts w:ascii="Times New Roman" w:hAnsi="Times New Roman" w:cs="Times New Roman"/>
          <w:sz w:val="28"/>
          <w:szCs w:val="28"/>
        </w:rPr>
        <w:t xml:space="preserve">для исполнения законодательства, обеспечивающего защиту прав предпринимателей в сфере инвестиционной деятельности, </w:t>
      </w:r>
      <w:r w:rsidR="00762553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  <w:r w:rsidR="00762553" w:rsidRPr="00762553">
        <w:rPr>
          <w:rFonts w:ascii="Times New Roman" w:hAnsi="Times New Roman" w:cs="Times New Roman"/>
          <w:b/>
          <w:sz w:val="28"/>
          <w:szCs w:val="28"/>
        </w:rPr>
        <w:t>решил</w:t>
      </w:r>
      <w:r w:rsidR="00762553">
        <w:rPr>
          <w:rFonts w:ascii="Times New Roman" w:hAnsi="Times New Roman" w:cs="Times New Roman"/>
          <w:sz w:val="28"/>
          <w:szCs w:val="28"/>
        </w:rPr>
        <w:t xml:space="preserve"> </w:t>
      </w:r>
      <w:r w:rsidRPr="00762553">
        <w:rPr>
          <w:rFonts w:ascii="Times New Roman" w:hAnsi="Times New Roman" w:cs="Times New Roman"/>
          <w:sz w:val="28"/>
          <w:szCs w:val="28"/>
        </w:rPr>
        <w:t>:</w:t>
      </w:r>
    </w:p>
    <w:p w:rsidR="00611736" w:rsidRDefault="006117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553">
        <w:rPr>
          <w:rFonts w:ascii="Times New Roman" w:hAnsi="Times New Roman" w:cs="Times New Roman"/>
          <w:sz w:val="28"/>
          <w:szCs w:val="28"/>
        </w:rPr>
        <w:t xml:space="preserve">1. Утвердить Правила предоставления </w:t>
      </w:r>
      <w:r w:rsidR="00D73CF6" w:rsidRPr="00762553">
        <w:rPr>
          <w:rFonts w:ascii="Times New Roman" w:hAnsi="Times New Roman" w:cs="Times New Roman"/>
          <w:sz w:val="28"/>
          <w:szCs w:val="28"/>
        </w:rPr>
        <w:t>муниципальных</w:t>
      </w:r>
      <w:r w:rsidRPr="00762553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D73CF6" w:rsidRPr="00762553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762553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553">
        <w:rPr>
          <w:rFonts w:ascii="Times New Roman" w:hAnsi="Times New Roman" w:cs="Times New Roman"/>
          <w:sz w:val="28"/>
          <w:szCs w:val="28"/>
        </w:rPr>
        <w:t xml:space="preserve">2. Утвердить Методику оценки финансового состояния получателя </w:t>
      </w:r>
      <w:r w:rsidR="00D73CF6" w:rsidRPr="00762553">
        <w:rPr>
          <w:rFonts w:ascii="Times New Roman" w:hAnsi="Times New Roman" w:cs="Times New Roman"/>
          <w:sz w:val="28"/>
          <w:szCs w:val="28"/>
        </w:rPr>
        <w:t>муниципальной</w:t>
      </w:r>
      <w:r w:rsidRPr="00762553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D73CF6" w:rsidRPr="00762553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762553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CE137A" w:rsidRPr="00D64D40" w:rsidRDefault="00CE137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6255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762553">
        <w:rPr>
          <w:rFonts w:ascii="Times New Roman" w:hAnsi="Times New Roman" w:cs="Times New Roman"/>
          <w:sz w:val="28"/>
          <w:szCs w:val="28"/>
        </w:rPr>
        <w:t>решения</w:t>
      </w:r>
      <w:r w:rsidRPr="0076255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62553">
        <w:rPr>
          <w:rFonts w:ascii="Times New Roman" w:hAnsi="Times New Roman" w:cs="Times New Roman"/>
          <w:sz w:val="28"/>
          <w:szCs w:val="28"/>
        </w:rPr>
        <w:t>комитете по финанс</w:t>
      </w:r>
      <w:r w:rsidR="005256EE">
        <w:rPr>
          <w:rFonts w:ascii="Times New Roman" w:hAnsi="Times New Roman" w:cs="Times New Roman"/>
          <w:sz w:val="28"/>
          <w:szCs w:val="28"/>
        </w:rPr>
        <w:t xml:space="preserve">ам </w:t>
      </w:r>
      <w:r w:rsidR="00762553">
        <w:rPr>
          <w:rFonts w:ascii="Times New Roman" w:hAnsi="Times New Roman" w:cs="Times New Roman"/>
          <w:sz w:val="28"/>
          <w:szCs w:val="28"/>
        </w:rPr>
        <w:t>и налоговой политике</w:t>
      </w:r>
    </w:p>
    <w:p w:rsidR="005256EE" w:rsidRPr="00A44C80" w:rsidRDefault="005256EE" w:rsidP="005256EE">
      <w:pPr>
        <w:ind w:left="284"/>
        <w:jc w:val="both"/>
        <w:rPr>
          <w:sz w:val="28"/>
          <w:szCs w:val="28"/>
        </w:rPr>
      </w:pPr>
      <w:r w:rsidRPr="00A44C80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A44C80">
        <w:rPr>
          <w:sz w:val="28"/>
          <w:szCs w:val="28"/>
        </w:rPr>
        <w:t>. Настоящее решение вступает в силу со дня его обнародования.</w:t>
      </w:r>
    </w:p>
    <w:p w:rsidR="005256EE" w:rsidRPr="00A00B89" w:rsidRDefault="005256EE" w:rsidP="005256EE">
      <w:pPr>
        <w:pStyle w:val="a3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5256EE" w:rsidTr="005256EE">
        <w:tc>
          <w:tcPr>
            <w:tcW w:w="4870" w:type="dxa"/>
          </w:tcPr>
          <w:p w:rsidR="005256EE" w:rsidRPr="005256EE" w:rsidRDefault="005256EE" w:rsidP="005256EE">
            <w:pPr>
              <w:jc w:val="both"/>
              <w:rPr>
                <w:b/>
                <w:sz w:val="28"/>
                <w:szCs w:val="28"/>
              </w:rPr>
            </w:pPr>
            <w:r w:rsidRPr="005256EE">
              <w:rPr>
                <w:b/>
                <w:sz w:val="28"/>
                <w:szCs w:val="28"/>
              </w:rPr>
              <w:t>Председатель районного</w:t>
            </w:r>
          </w:p>
          <w:p w:rsidR="005256EE" w:rsidRPr="005256EE" w:rsidRDefault="005256EE" w:rsidP="005256EE">
            <w:pPr>
              <w:jc w:val="both"/>
              <w:rPr>
                <w:b/>
                <w:sz w:val="28"/>
                <w:szCs w:val="28"/>
              </w:rPr>
            </w:pPr>
            <w:r w:rsidRPr="005256EE">
              <w:rPr>
                <w:b/>
                <w:sz w:val="28"/>
                <w:szCs w:val="28"/>
              </w:rPr>
              <w:t>Совета народных депутатов</w:t>
            </w:r>
          </w:p>
          <w:p w:rsidR="005256EE" w:rsidRPr="005256EE" w:rsidRDefault="005256EE" w:rsidP="005256EE">
            <w:pPr>
              <w:jc w:val="both"/>
              <w:rPr>
                <w:b/>
                <w:sz w:val="28"/>
                <w:szCs w:val="28"/>
              </w:rPr>
            </w:pPr>
            <w:r w:rsidRPr="005256E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5256EE" w:rsidRPr="005256EE" w:rsidRDefault="005256EE" w:rsidP="005256EE">
            <w:pPr>
              <w:rPr>
                <w:b/>
                <w:sz w:val="28"/>
                <w:szCs w:val="28"/>
              </w:rPr>
            </w:pPr>
            <w:r w:rsidRPr="005256EE">
              <w:rPr>
                <w:b/>
                <w:sz w:val="28"/>
                <w:szCs w:val="28"/>
              </w:rPr>
              <w:t xml:space="preserve">                                      В. И. Миронов</w:t>
            </w:r>
          </w:p>
        </w:tc>
        <w:tc>
          <w:tcPr>
            <w:tcW w:w="4871" w:type="dxa"/>
          </w:tcPr>
          <w:p w:rsidR="005256EE" w:rsidRPr="005256EE" w:rsidRDefault="005256EE" w:rsidP="005256EE">
            <w:pPr>
              <w:jc w:val="both"/>
              <w:rPr>
                <w:b/>
                <w:sz w:val="28"/>
                <w:szCs w:val="28"/>
              </w:rPr>
            </w:pPr>
            <w:r w:rsidRPr="005256EE">
              <w:rPr>
                <w:b/>
                <w:sz w:val="28"/>
                <w:szCs w:val="28"/>
              </w:rPr>
              <w:t xml:space="preserve">                                       Глава района</w:t>
            </w:r>
          </w:p>
          <w:p w:rsidR="005256EE" w:rsidRPr="005256EE" w:rsidRDefault="005256EE" w:rsidP="005256EE">
            <w:pPr>
              <w:jc w:val="both"/>
              <w:rPr>
                <w:b/>
                <w:sz w:val="28"/>
                <w:szCs w:val="28"/>
              </w:rPr>
            </w:pPr>
          </w:p>
          <w:p w:rsidR="005256EE" w:rsidRPr="005256EE" w:rsidRDefault="005256EE" w:rsidP="005256EE">
            <w:pPr>
              <w:jc w:val="both"/>
              <w:rPr>
                <w:b/>
                <w:sz w:val="28"/>
                <w:szCs w:val="28"/>
              </w:rPr>
            </w:pPr>
            <w:r w:rsidRPr="005256EE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5256EE" w:rsidRPr="005256EE" w:rsidRDefault="005256EE" w:rsidP="00B330A4">
            <w:pPr>
              <w:rPr>
                <w:b/>
                <w:sz w:val="28"/>
                <w:szCs w:val="28"/>
              </w:rPr>
            </w:pPr>
            <w:r w:rsidRPr="005256EE">
              <w:rPr>
                <w:b/>
                <w:sz w:val="28"/>
                <w:szCs w:val="28"/>
              </w:rPr>
              <w:t xml:space="preserve">                                       В. И. Миронов</w:t>
            </w:r>
          </w:p>
        </w:tc>
        <w:tc>
          <w:tcPr>
            <w:tcW w:w="4871" w:type="dxa"/>
          </w:tcPr>
          <w:p w:rsidR="005256EE" w:rsidRPr="005256EE" w:rsidRDefault="005256EE" w:rsidP="00B330A4">
            <w:pPr>
              <w:rPr>
                <w:sz w:val="28"/>
                <w:szCs w:val="28"/>
              </w:rPr>
            </w:pPr>
            <w:r w:rsidRPr="005256EE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5256EE" w:rsidRPr="00A00B89" w:rsidRDefault="005256EE" w:rsidP="005256EE">
      <w:pPr>
        <w:rPr>
          <w:sz w:val="28"/>
          <w:szCs w:val="28"/>
        </w:rPr>
      </w:pPr>
    </w:p>
    <w:p w:rsidR="00CE137A" w:rsidRPr="00762553" w:rsidRDefault="005256EE" w:rsidP="005256EE">
      <w:pPr>
        <w:jc w:val="right"/>
      </w:pPr>
      <w:r w:rsidRPr="00D97D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D97D21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CE137A" w:rsidRPr="00762553">
        <w:t>риложение 1</w:t>
      </w:r>
    </w:p>
    <w:p w:rsidR="00762553" w:rsidRPr="00762553" w:rsidRDefault="00CE13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к </w:t>
      </w:r>
      <w:r w:rsidR="00762553" w:rsidRPr="00762553">
        <w:rPr>
          <w:rFonts w:ascii="Times New Roman" w:hAnsi="Times New Roman" w:cs="Times New Roman"/>
          <w:sz w:val="24"/>
          <w:szCs w:val="24"/>
        </w:rPr>
        <w:t xml:space="preserve">решению </w:t>
      </w:r>
    </w:p>
    <w:p w:rsidR="00762553" w:rsidRPr="00762553" w:rsidRDefault="0076255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районного Совета </w:t>
      </w:r>
    </w:p>
    <w:p w:rsidR="00762553" w:rsidRPr="00762553" w:rsidRDefault="00762553" w:rsidP="007625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256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2553">
        <w:rPr>
          <w:rFonts w:ascii="Times New Roman" w:hAnsi="Times New Roman" w:cs="Times New Roman"/>
          <w:sz w:val="24"/>
          <w:szCs w:val="24"/>
        </w:rPr>
        <w:t xml:space="preserve"> народных  депутатов</w:t>
      </w:r>
    </w:p>
    <w:p w:rsidR="00CE137A" w:rsidRPr="00762553" w:rsidRDefault="00CE13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от</w:t>
      </w:r>
      <w:r w:rsidR="00D73CF6" w:rsidRPr="00762553">
        <w:rPr>
          <w:rFonts w:ascii="Times New Roman" w:hAnsi="Times New Roman" w:cs="Times New Roman"/>
          <w:sz w:val="24"/>
          <w:szCs w:val="24"/>
        </w:rPr>
        <w:t xml:space="preserve"> </w:t>
      </w:r>
      <w:r w:rsidR="000135DB">
        <w:rPr>
          <w:rFonts w:ascii="Times New Roman" w:hAnsi="Times New Roman" w:cs="Times New Roman"/>
          <w:sz w:val="24"/>
          <w:szCs w:val="24"/>
        </w:rPr>
        <w:t>20</w:t>
      </w:r>
      <w:r w:rsidR="00D73CF6" w:rsidRPr="00762553">
        <w:rPr>
          <w:rFonts w:ascii="Times New Roman" w:hAnsi="Times New Roman" w:cs="Times New Roman"/>
          <w:sz w:val="24"/>
          <w:szCs w:val="24"/>
        </w:rPr>
        <w:t xml:space="preserve"> </w:t>
      </w:r>
      <w:r w:rsidR="00762553" w:rsidRPr="0076255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ED2B85" w:rsidRPr="00762553">
        <w:rPr>
          <w:rFonts w:ascii="Times New Roman" w:hAnsi="Times New Roman" w:cs="Times New Roman"/>
          <w:sz w:val="24"/>
          <w:szCs w:val="24"/>
        </w:rPr>
        <w:t xml:space="preserve"> </w:t>
      </w:r>
      <w:r w:rsidR="00D73CF6" w:rsidRPr="00762553">
        <w:rPr>
          <w:rFonts w:ascii="Times New Roman" w:hAnsi="Times New Roman" w:cs="Times New Roman"/>
          <w:sz w:val="24"/>
          <w:szCs w:val="24"/>
        </w:rPr>
        <w:t xml:space="preserve"> 20</w:t>
      </w:r>
      <w:r w:rsidR="00762553" w:rsidRPr="00762553">
        <w:rPr>
          <w:rFonts w:ascii="Times New Roman" w:hAnsi="Times New Roman" w:cs="Times New Roman"/>
          <w:sz w:val="24"/>
          <w:szCs w:val="24"/>
        </w:rPr>
        <w:t>16</w:t>
      </w:r>
      <w:r w:rsidR="00D73CF6" w:rsidRPr="0076255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62553" w:rsidRPr="00762553">
        <w:rPr>
          <w:rFonts w:ascii="Times New Roman" w:hAnsi="Times New Roman" w:cs="Times New Roman"/>
          <w:sz w:val="24"/>
          <w:szCs w:val="24"/>
        </w:rPr>
        <w:t xml:space="preserve"> 428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ПРАВИЛА</w:t>
      </w:r>
    </w:p>
    <w:p w:rsidR="00CE137A" w:rsidRPr="00762553" w:rsidRDefault="00CE13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73CF6" w:rsidRPr="00762553">
        <w:rPr>
          <w:rFonts w:ascii="Times New Roman" w:hAnsi="Times New Roman" w:cs="Times New Roman"/>
          <w:sz w:val="24"/>
          <w:szCs w:val="24"/>
        </w:rPr>
        <w:t>МУНИЦИПАЛЬНЫХ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D73CF6" w:rsidRPr="00762553">
        <w:rPr>
          <w:rFonts w:ascii="Times New Roman" w:hAnsi="Times New Roman" w:cs="Times New Roman"/>
          <w:sz w:val="24"/>
          <w:szCs w:val="24"/>
        </w:rPr>
        <w:t>ТРОСНЯНСКОГО РАЙОНА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1. Настоящие Правила разработаны в соответствии с требованиями Бюджетного кодекса Российской Федерации, </w:t>
      </w:r>
      <w:r w:rsidR="00D135D0" w:rsidRPr="00762553">
        <w:rPr>
          <w:rFonts w:ascii="Times New Roman" w:hAnsi="Times New Roman" w:cs="Times New Roman"/>
          <w:sz w:val="24"/>
          <w:szCs w:val="24"/>
        </w:rPr>
        <w:t xml:space="preserve">Постановления Троснянского районного Совета народных депутатов </w:t>
      </w:r>
      <w:r w:rsidRPr="00762553">
        <w:rPr>
          <w:rFonts w:ascii="Times New Roman" w:hAnsi="Times New Roman" w:cs="Times New Roman"/>
          <w:sz w:val="24"/>
          <w:szCs w:val="24"/>
        </w:rPr>
        <w:t xml:space="preserve">от </w:t>
      </w:r>
      <w:r w:rsidR="00D135D0" w:rsidRPr="00762553">
        <w:rPr>
          <w:rFonts w:ascii="Times New Roman" w:hAnsi="Times New Roman" w:cs="Times New Roman"/>
          <w:sz w:val="24"/>
          <w:szCs w:val="24"/>
        </w:rPr>
        <w:t>8 апреля</w:t>
      </w:r>
      <w:r w:rsidRPr="00762553">
        <w:rPr>
          <w:rFonts w:ascii="Times New Roman" w:hAnsi="Times New Roman" w:cs="Times New Roman"/>
          <w:sz w:val="24"/>
          <w:szCs w:val="24"/>
        </w:rPr>
        <w:t xml:space="preserve"> 20</w:t>
      </w:r>
      <w:r w:rsidR="00D135D0" w:rsidRPr="00762553">
        <w:rPr>
          <w:rFonts w:ascii="Times New Roman" w:hAnsi="Times New Roman" w:cs="Times New Roman"/>
          <w:sz w:val="24"/>
          <w:szCs w:val="24"/>
        </w:rPr>
        <w:t>1</w:t>
      </w:r>
      <w:r w:rsidRPr="00762553">
        <w:rPr>
          <w:rFonts w:ascii="Times New Roman" w:hAnsi="Times New Roman" w:cs="Times New Roman"/>
          <w:sz w:val="24"/>
          <w:szCs w:val="24"/>
        </w:rPr>
        <w:t xml:space="preserve">0 года </w:t>
      </w:r>
      <w:r w:rsidR="00D135D0" w:rsidRPr="00762553">
        <w:rPr>
          <w:rFonts w:ascii="Times New Roman" w:hAnsi="Times New Roman" w:cs="Times New Roman"/>
          <w:sz w:val="24"/>
          <w:szCs w:val="24"/>
        </w:rPr>
        <w:t>№</w:t>
      </w:r>
      <w:r w:rsidR="00BD7397" w:rsidRPr="00762553">
        <w:rPr>
          <w:rFonts w:ascii="Times New Roman" w:hAnsi="Times New Roman" w:cs="Times New Roman"/>
          <w:sz w:val="24"/>
          <w:szCs w:val="24"/>
        </w:rPr>
        <w:t xml:space="preserve"> 267</w:t>
      </w:r>
      <w:r w:rsidRPr="00762553">
        <w:rPr>
          <w:rFonts w:ascii="Times New Roman" w:hAnsi="Times New Roman" w:cs="Times New Roman"/>
          <w:sz w:val="24"/>
          <w:szCs w:val="24"/>
        </w:rPr>
        <w:t xml:space="preserve"> "О бюджетном процессе в </w:t>
      </w:r>
      <w:r w:rsidR="00D135D0" w:rsidRPr="00762553">
        <w:rPr>
          <w:rFonts w:ascii="Times New Roman" w:hAnsi="Times New Roman" w:cs="Times New Roman"/>
          <w:sz w:val="24"/>
          <w:szCs w:val="24"/>
        </w:rPr>
        <w:t>Троснянском районе</w:t>
      </w:r>
      <w:r w:rsidRPr="00762553">
        <w:rPr>
          <w:rFonts w:ascii="Times New Roman" w:hAnsi="Times New Roman" w:cs="Times New Roman"/>
          <w:sz w:val="24"/>
          <w:szCs w:val="24"/>
        </w:rPr>
        <w:t xml:space="preserve">", </w:t>
      </w:r>
      <w:r w:rsidR="00B27A4F" w:rsidRPr="00762553">
        <w:rPr>
          <w:rFonts w:ascii="Times New Roman" w:hAnsi="Times New Roman" w:cs="Times New Roman"/>
          <w:sz w:val="24"/>
          <w:szCs w:val="24"/>
        </w:rPr>
        <w:t>постановления</w:t>
      </w:r>
      <w:r w:rsidR="00D15B75" w:rsidRPr="00762553">
        <w:rPr>
          <w:rFonts w:ascii="Times New Roman" w:hAnsi="Times New Roman" w:cs="Times New Roman"/>
          <w:sz w:val="24"/>
          <w:szCs w:val="24"/>
        </w:rPr>
        <w:t xml:space="preserve"> Троснянского районного Совета народных депутатов</w:t>
      </w:r>
      <w:r w:rsidR="00AD486A" w:rsidRPr="00762553">
        <w:rPr>
          <w:rFonts w:ascii="Times New Roman" w:hAnsi="Times New Roman" w:cs="Times New Roman"/>
          <w:sz w:val="24"/>
          <w:szCs w:val="24"/>
        </w:rPr>
        <w:t xml:space="preserve"> от  </w:t>
      </w:r>
      <w:r w:rsidR="00871FD3" w:rsidRPr="00762553">
        <w:rPr>
          <w:rFonts w:ascii="Times New Roman" w:hAnsi="Times New Roman" w:cs="Times New Roman"/>
          <w:sz w:val="24"/>
          <w:szCs w:val="24"/>
        </w:rPr>
        <w:t>28 декабря</w:t>
      </w:r>
      <w:r w:rsidR="00AD486A" w:rsidRPr="00762553">
        <w:rPr>
          <w:rFonts w:ascii="Times New Roman" w:hAnsi="Times New Roman" w:cs="Times New Roman"/>
          <w:sz w:val="24"/>
          <w:szCs w:val="24"/>
        </w:rPr>
        <w:t xml:space="preserve"> 20</w:t>
      </w:r>
      <w:r w:rsidR="00871FD3" w:rsidRPr="00762553">
        <w:rPr>
          <w:rFonts w:ascii="Times New Roman" w:hAnsi="Times New Roman" w:cs="Times New Roman"/>
          <w:sz w:val="24"/>
          <w:szCs w:val="24"/>
        </w:rPr>
        <w:t>09 года</w:t>
      </w:r>
      <w:r w:rsidR="00AD486A" w:rsidRPr="00762553">
        <w:rPr>
          <w:rFonts w:ascii="Times New Roman" w:hAnsi="Times New Roman" w:cs="Times New Roman"/>
          <w:sz w:val="24"/>
          <w:szCs w:val="24"/>
        </w:rPr>
        <w:t xml:space="preserve"> № </w:t>
      </w:r>
      <w:r w:rsidR="00871FD3" w:rsidRPr="00762553">
        <w:rPr>
          <w:rFonts w:ascii="Times New Roman" w:hAnsi="Times New Roman" w:cs="Times New Roman"/>
          <w:sz w:val="24"/>
          <w:szCs w:val="24"/>
        </w:rPr>
        <w:t>247 «О бюджете муниципального района н</w:t>
      </w:r>
      <w:r w:rsidRPr="00762553">
        <w:rPr>
          <w:rFonts w:ascii="Times New Roman" w:hAnsi="Times New Roman" w:cs="Times New Roman"/>
          <w:sz w:val="24"/>
          <w:szCs w:val="24"/>
        </w:rPr>
        <w:t>а 20</w:t>
      </w:r>
      <w:r w:rsidR="00871FD3" w:rsidRPr="00762553">
        <w:rPr>
          <w:rFonts w:ascii="Times New Roman" w:hAnsi="Times New Roman" w:cs="Times New Roman"/>
          <w:sz w:val="24"/>
          <w:szCs w:val="24"/>
        </w:rPr>
        <w:t>10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71FD3" w:rsidRPr="00762553">
        <w:rPr>
          <w:rFonts w:ascii="Times New Roman" w:hAnsi="Times New Roman" w:cs="Times New Roman"/>
          <w:sz w:val="24"/>
          <w:szCs w:val="24"/>
        </w:rPr>
        <w:t>11</w:t>
      </w:r>
      <w:r w:rsidRPr="00762553">
        <w:rPr>
          <w:rFonts w:ascii="Times New Roman" w:hAnsi="Times New Roman" w:cs="Times New Roman"/>
          <w:sz w:val="24"/>
          <w:szCs w:val="24"/>
        </w:rPr>
        <w:t xml:space="preserve"> и 201</w:t>
      </w:r>
      <w:r w:rsidR="00871FD3" w:rsidRPr="00762553">
        <w:rPr>
          <w:rFonts w:ascii="Times New Roman" w:hAnsi="Times New Roman" w:cs="Times New Roman"/>
          <w:sz w:val="24"/>
          <w:szCs w:val="24"/>
        </w:rPr>
        <w:t>2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годов" и регулируют отношения, связанные с предоставлением </w:t>
      </w:r>
      <w:r w:rsidR="00D15B75" w:rsidRPr="00762553">
        <w:rPr>
          <w:rFonts w:ascii="Times New Roman" w:hAnsi="Times New Roman" w:cs="Times New Roman"/>
          <w:sz w:val="24"/>
          <w:szCs w:val="24"/>
        </w:rPr>
        <w:t>муниципальных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D15B75" w:rsidRPr="00762553">
        <w:rPr>
          <w:rFonts w:ascii="Times New Roman" w:hAnsi="Times New Roman" w:cs="Times New Roman"/>
          <w:sz w:val="24"/>
          <w:szCs w:val="24"/>
        </w:rPr>
        <w:t>Троснянского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(далее - гарантии).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2. Предоставление гарантий осуществляется </w:t>
      </w:r>
      <w:r w:rsidR="002B465E" w:rsidRPr="00762553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B465E" w:rsidRPr="00762553">
        <w:rPr>
          <w:rFonts w:ascii="Times New Roman" w:hAnsi="Times New Roman" w:cs="Times New Roman"/>
          <w:sz w:val="24"/>
          <w:szCs w:val="24"/>
        </w:rPr>
        <w:t>постановлением Троснянского районного Совета народных депутатов</w:t>
      </w:r>
      <w:r w:rsidRPr="00762553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2B465E" w:rsidRPr="0076255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период, распоряжением </w:t>
      </w:r>
      <w:r w:rsidR="002B465E" w:rsidRPr="00762553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и договором при условии: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- проведения анализа финансового состояния принципала;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- предоставления принципалом соответствующего требованиям статьи 93.2 Бюджетного кодекса и гражданского законодательства Российской Федерации</w:t>
      </w:r>
      <w:r w:rsidR="00AD486A" w:rsidRPr="00762553">
        <w:rPr>
          <w:rFonts w:ascii="Times New Roman" w:hAnsi="Times New Roman" w:cs="Times New Roman"/>
          <w:sz w:val="24"/>
          <w:szCs w:val="24"/>
        </w:rPr>
        <w:t xml:space="preserve"> </w:t>
      </w:r>
      <w:r w:rsidRPr="00762553">
        <w:rPr>
          <w:rFonts w:ascii="Times New Roman" w:hAnsi="Times New Roman" w:cs="Times New Roman"/>
          <w:sz w:val="24"/>
          <w:szCs w:val="24"/>
        </w:rPr>
        <w:t>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- отсутствия у принципала, его поручителей (гарантов) просроченной задолженности по денежным обязательствам перед </w:t>
      </w:r>
      <w:r w:rsidR="00D15B75" w:rsidRPr="00762553">
        <w:rPr>
          <w:rFonts w:ascii="Times New Roman" w:hAnsi="Times New Roman" w:cs="Times New Roman"/>
          <w:sz w:val="24"/>
          <w:szCs w:val="24"/>
        </w:rPr>
        <w:t>районом</w:t>
      </w:r>
      <w:r w:rsidRPr="00762553">
        <w:rPr>
          <w:rFonts w:ascii="Times New Roman" w:hAnsi="Times New Roman" w:cs="Times New Roman"/>
          <w:sz w:val="24"/>
          <w:szCs w:val="24"/>
        </w:rPr>
        <w:t xml:space="preserve">, по обязательным платежам в бюджетную систему Российской Федерации, а также неурегулированных обязательств по </w:t>
      </w:r>
      <w:r w:rsidR="002B465E" w:rsidRPr="00762553">
        <w:rPr>
          <w:rFonts w:ascii="Times New Roman" w:hAnsi="Times New Roman" w:cs="Times New Roman"/>
          <w:sz w:val="24"/>
          <w:szCs w:val="24"/>
        </w:rPr>
        <w:t>муниципальным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гарантиям, ранее предоставленным </w:t>
      </w:r>
      <w:r w:rsidR="002B465E" w:rsidRPr="00762553">
        <w:rPr>
          <w:rFonts w:ascii="Times New Roman" w:hAnsi="Times New Roman" w:cs="Times New Roman"/>
          <w:sz w:val="24"/>
          <w:szCs w:val="24"/>
        </w:rPr>
        <w:t xml:space="preserve"> районом</w:t>
      </w:r>
      <w:r w:rsidRPr="00762553">
        <w:rPr>
          <w:rFonts w:ascii="Times New Roman" w:hAnsi="Times New Roman" w:cs="Times New Roman"/>
          <w:sz w:val="24"/>
          <w:szCs w:val="24"/>
        </w:rPr>
        <w:t>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2B465E" w:rsidRPr="00762553">
        <w:rPr>
          <w:rFonts w:ascii="Times New Roman" w:hAnsi="Times New Roman" w:cs="Times New Roman"/>
          <w:sz w:val="24"/>
          <w:szCs w:val="24"/>
        </w:rPr>
        <w:t>муниципальной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гарантии для обеспечения обязательств по возмещению ущерба, образовавшегося при наступлении гарантийного случая некоммерческого характера, а также </w:t>
      </w:r>
      <w:r w:rsidR="002B465E" w:rsidRPr="00762553">
        <w:rPr>
          <w:rFonts w:ascii="Times New Roman" w:hAnsi="Times New Roman" w:cs="Times New Roman"/>
          <w:sz w:val="24"/>
          <w:szCs w:val="24"/>
        </w:rPr>
        <w:t>муниципальной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В случаях, установленных бюджетным законодательством Российской Федерации, </w:t>
      </w:r>
      <w:r w:rsidR="002B465E" w:rsidRPr="00762553">
        <w:rPr>
          <w:rFonts w:ascii="Times New Roman" w:hAnsi="Times New Roman" w:cs="Times New Roman"/>
          <w:sz w:val="24"/>
          <w:szCs w:val="24"/>
        </w:rPr>
        <w:t>муниципальные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2B465E" w:rsidRPr="00762553">
        <w:rPr>
          <w:rFonts w:ascii="Times New Roman" w:hAnsi="Times New Roman" w:cs="Times New Roman"/>
          <w:sz w:val="24"/>
          <w:szCs w:val="24"/>
        </w:rPr>
        <w:t>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3. Гарантии могут быть предоставлены юридическим лицам</w:t>
      </w:r>
      <w:r w:rsidR="00D15B75" w:rsidRPr="00762553">
        <w:rPr>
          <w:rFonts w:ascii="Times New Roman" w:hAnsi="Times New Roman" w:cs="Times New Roman"/>
          <w:sz w:val="24"/>
          <w:szCs w:val="24"/>
        </w:rPr>
        <w:t>.</w:t>
      </w:r>
      <w:r w:rsidRPr="00762553">
        <w:rPr>
          <w:rFonts w:ascii="Times New Roman" w:hAnsi="Times New Roman" w:cs="Times New Roman"/>
          <w:sz w:val="24"/>
          <w:szCs w:val="24"/>
        </w:rPr>
        <w:t>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II. Предоставление </w:t>
      </w:r>
      <w:r w:rsidR="002B465E" w:rsidRPr="00762553">
        <w:rPr>
          <w:rFonts w:ascii="Times New Roman" w:hAnsi="Times New Roman" w:cs="Times New Roman"/>
          <w:sz w:val="24"/>
          <w:szCs w:val="24"/>
        </w:rPr>
        <w:t>муниципальных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гарантий</w:t>
      </w:r>
      <w:r w:rsidR="00D15B75" w:rsidRPr="00762553">
        <w:rPr>
          <w:rFonts w:ascii="Times New Roman" w:hAnsi="Times New Roman" w:cs="Times New Roman"/>
          <w:sz w:val="24"/>
          <w:szCs w:val="24"/>
        </w:rPr>
        <w:t xml:space="preserve"> юридическим лицам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lastRenderedPageBreak/>
        <w:t xml:space="preserve">1. Лицо, заинтересованное в получении гарантии (далее - заявитель), направляет в </w:t>
      </w:r>
      <w:r w:rsidR="002B465E" w:rsidRPr="00762553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письменное заявление с указанием существа основного обязательства, обеспечиваемого гарантией, суммы </w:t>
      </w:r>
      <w:r w:rsidR="002B465E" w:rsidRPr="00762553">
        <w:rPr>
          <w:rFonts w:ascii="Times New Roman" w:hAnsi="Times New Roman" w:cs="Times New Roman"/>
          <w:sz w:val="24"/>
          <w:szCs w:val="24"/>
        </w:rPr>
        <w:t>муниципальной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гарантии и способа обеспечения получателем гарантии исполнения обязательств перед гарантом.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2. К заявлению юридического лица на получение гарантии должны быть приложены следующие документы: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1) проект договора между получателем гарантии и кредитором;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2) нотариально удостоверенные копии учредительных документов, документов о государственной регистрации, о назначении руководителя, лицензий на виды деятельности, которые подлежат лицензированию в соответствии с законодательством Российской Федерации;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3) копии бухгалтерских балансов (форма 1) и отчетов о прибылях и убытках (форма 2) за последний отчетный год и за все отчетные периоды текущего года с отметкой налогового органа об их принятии;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4)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5)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6) справка налогового органа обо всех открытых счетах юридического лица,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заявителю;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7) заключение уполномоченного органа по представлению в делах о банкротстве об отсутствии в отношении заявителя дела о банкротстве;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8) предложение о способе обеспечения получателем гарантии исполнения обязательств перед гарантом (копии документов, подтверждающих наличие ликвидного обеспечения на предоставляемую гарантию);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9) справка о том, что договор между кредитором и заемщиком о предоставлении последнему кредита, возврат которого обеспечивается гарантией, не является для заявителя крупной сделкой, или решение соответствующего полномочного органа заявителя о совершении крупной сделки;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10) бизнес-план инвестиционного проекта, согласованный с кредитным учреждением, в котором планируется получение кредитных ресурсов, и прошедший экспертизу в </w:t>
      </w:r>
      <w:r w:rsidR="002B465E" w:rsidRPr="00762553">
        <w:rPr>
          <w:rFonts w:ascii="Times New Roman" w:hAnsi="Times New Roman" w:cs="Times New Roman"/>
          <w:sz w:val="24"/>
          <w:szCs w:val="24"/>
        </w:rPr>
        <w:t>отделе экономики администрации района</w:t>
      </w:r>
      <w:r w:rsidRPr="00762553">
        <w:rPr>
          <w:rFonts w:ascii="Times New Roman" w:hAnsi="Times New Roman" w:cs="Times New Roman"/>
          <w:sz w:val="24"/>
          <w:szCs w:val="24"/>
        </w:rPr>
        <w:t>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3. Гарантии предоставляются при соответствии получателя гарантии следующим условиям: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1) отсутствие просроченной задолженности по предоставленным ранее на возвратной основе средствам бюджетов любого уровня бюджетной системы Российской Федерации;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2) отсутствие просроченной задолженности по предоставленным ранее на возвратной основе средствам иных кредиторов;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3) отсутствие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4) положительное заключение о финансовом состоянии получателя гарантии, составленное по результатам проведения </w:t>
      </w:r>
      <w:r w:rsidR="002B465E" w:rsidRPr="00762553">
        <w:rPr>
          <w:rFonts w:ascii="Times New Roman" w:hAnsi="Times New Roman" w:cs="Times New Roman"/>
          <w:sz w:val="24"/>
          <w:szCs w:val="24"/>
        </w:rPr>
        <w:t>финансовым отделом администрации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анализа финансового состояния;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5) предоставление получателем гарантии обеспечения исполнения своих обязательств по </w:t>
      </w:r>
      <w:r w:rsidR="002B465E" w:rsidRPr="0076255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4. Способами обеспечения получателями гарантий исполнения своих обязательств перед </w:t>
      </w:r>
      <w:r w:rsidR="002B465E" w:rsidRPr="00762553">
        <w:rPr>
          <w:rFonts w:ascii="Times New Roman" w:hAnsi="Times New Roman" w:cs="Times New Roman"/>
          <w:sz w:val="24"/>
          <w:szCs w:val="24"/>
        </w:rPr>
        <w:t>Троснянским районом</w:t>
      </w:r>
      <w:r w:rsidRPr="00762553">
        <w:rPr>
          <w:rFonts w:ascii="Times New Roman" w:hAnsi="Times New Roman" w:cs="Times New Roman"/>
          <w:sz w:val="24"/>
          <w:szCs w:val="24"/>
        </w:rPr>
        <w:t xml:space="preserve"> могут быть банковские гарантии, поручительства, залог </w:t>
      </w:r>
      <w:r w:rsidRPr="00762553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имущества, в том числе в виде акций, иных ценных бумаг, паев, в размере не менее 100 процентов от суммы предоставляемой </w:t>
      </w:r>
      <w:r w:rsidR="002B465E" w:rsidRPr="00762553">
        <w:rPr>
          <w:rFonts w:ascii="Times New Roman" w:hAnsi="Times New Roman" w:cs="Times New Roman"/>
          <w:sz w:val="24"/>
          <w:szCs w:val="24"/>
        </w:rPr>
        <w:t>муниципальной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гарантии. Обеспечение исполнения обязательств должно иметь высокую степень ликвидности. Под высокой степенью ликвидности способа обеспечения обязательств необходимо понимать возможность (или способность) гаранта обеспечить в кратчайшие сроки за счет способа обеспечения возмещение исполненных обязательств по гарантии в полном объеме.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5. В случае предоставления заявителем в качестве обеспечения исполнения обязательств получателя гарантии </w:t>
      </w:r>
      <w:r w:rsidR="002B465E" w:rsidRPr="00762553">
        <w:rPr>
          <w:rFonts w:ascii="Times New Roman" w:hAnsi="Times New Roman" w:cs="Times New Roman"/>
          <w:sz w:val="24"/>
          <w:szCs w:val="24"/>
        </w:rPr>
        <w:t>Троснянского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перед гарантом банковской гарантии одновременно с банковской гарантией должна быть представлена копия лицензии Центрального банка Российской Федерации на совершение коммерческим банком банковских операций.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Банковская гарантия, представленная заявителем, должна удовлетворять следующим требованиям: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быть безотзывной;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не содержать ограничения пределов ответственности суммой гарантии;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установленный срок действия гарантии должен быть не менее срока, на который предоставляется </w:t>
      </w:r>
      <w:r w:rsidR="002B465E" w:rsidRPr="00762553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гарантия, увеличенного на 1 год.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6. В случае предоставления заявителем поручительства в качестве обеспечения исполнения обязательств получателя гарантии </w:t>
      </w:r>
      <w:r w:rsidR="002B465E" w:rsidRPr="00762553">
        <w:rPr>
          <w:rFonts w:ascii="Times New Roman" w:hAnsi="Times New Roman" w:cs="Times New Roman"/>
          <w:sz w:val="24"/>
          <w:szCs w:val="24"/>
        </w:rPr>
        <w:t>Троснянского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перед гарантом, в целях оформления договора поручительства должны быть предоставлены: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1) решение поручителя о предоставлении поручительства;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2) копии учредительных документов поручителя;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3) решение уполномоченного органа поручителя о совершении крупной сделки, если такое решение необходимо в соответствии с законодательством Российской Федерации или учредительными документами поручителя;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4) копии бухгалтерского баланса (форма 1) и отчета о прибылях и убытках (форма 2) за последний отчетный год и за все отчетные периоды текущего года с отметкой налогового органа об их принятии;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5) расшифровка кредиторской и дебиторской задолженности поручителя;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6) справки о действующих кредитных договорах по кредитам, отраженным в балансе поручителя, с указанием суммы кредита, срока его возврата, процентной ставки и обеспечения по кредиту.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7. В случае предоставления в качестве обеспечения исполнения обязательств получателя гарантии </w:t>
      </w:r>
      <w:r w:rsidR="00B92379" w:rsidRPr="00762553">
        <w:rPr>
          <w:rFonts w:ascii="Times New Roman" w:hAnsi="Times New Roman" w:cs="Times New Roman"/>
          <w:sz w:val="24"/>
          <w:szCs w:val="24"/>
        </w:rPr>
        <w:t>Троснянского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перед гарантом залога его оценка и оформление производится в соответствии с законодательством Российской Федерации.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8. Предоставленные заявителем в </w:t>
      </w:r>
      <w:r w:rsidR="00B92379" w:rsidRPr="00762553"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документы направляются на рассмотрение в </w:t>
      </w:r>
      <w:r w:rsidR="00B92379" w:rsidRPr="00762553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762553">
        <w:rPr>
          <w:rFonts w:ascii="Times New Roman" w:hAnsi="Times New Roman" w:cs="Times New Roman"/>
          <w:sz w:val="24"/>
          <w:szCs w:val="24"/>
        </w:rPr>
        <w:t>.</w:t>
      </w:r>
    </w:p>
    <w:p w:rsidR="00CE137A" w:rsidRPr="00762553" w:rsidRDefault="00CE137A" w:rsidP="00B923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9. </w:t>
      </w:r>
      <w:r w:rsidR="00B92379" w:rsidRPr="00762553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762553">
        <w:rPr>
          <w:rFonts w:ascii="Times New Roman" w:hAnsi="Times New Roman" w:cs="Times New Roman"/>
          <w:sz w:val="24"/>
          <w:szCs w:val="24"/>
        </w:rPr>
        <w:t xml:space="preserve"> осуществляет проверку полного соблюдения юридическим лицом условий, предусмотренных разделом II настоящих Правил, анализ его финансового состояния, в течение 30 дней со дня поступления заявления и документов готовит заключение о целесообразности предоставления гарантии и выносит его на рассмотрение </w:t>
      </w:r>
      <w:r w:rsidR="00B92379" w:rsidRPr="00762553">
        <w:rPr>
          <w:rFonts w:ascii="Times New Roman" w:hAnsi="Times New Roman" w:cs="Times New Roman"/>
          <w:sz w:val="24"/>
          <w:szCs w:val="24"/>
        </w:rPr>
        <w:t>администрации района.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10. Не рассматривается возможность предоставления </w:t>
      </w:r>
      <w:r w:rsidR="00B92379" w:rsidRPr="00762553">
        <w:rPr>
          <w:rFonts w:ascii="Times New Roman" w:hAnsi="Times New Roman" w:cs="Times New Roman"/>
          <w:sz w:val="24"/>
          <w:szCs w:val="24"/>
        </w:rPr>
        <w:t>муниципальной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гарантии в случаях неполного предоставления документов, предусмотренных настоящими Правилами.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11. При неспособности заявителя предоставить ликвидное обеспечение исполнения обязательств получателя гарантии </w:t>
      </w:r>
      <w:r w:rsidR="00B92379" w:rsidRPr="00762553">
        <w:rPr>
          <w:rFonts w:ascii="Times New Roman" w:hAnsi="Times New Roman" w:cs="Times New Roman"/>
          <w:sz w:val="24"/>
          <w:szCs w:val="24"/>
        </w:rPr>
        <w:t>Троснянского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перед гарантом, </w:t>
      </w:r>
      <w:r w:rsidR="00B92379" w:rsidRPr="00762553">
        <w:rPr>
          <w:rFonts w:ascii="Times New Roman" w:hAnsi="Times New Roman" w:cs="Times New Roman"/>
          <w:sz w:val="24"/>
          <w:szCs w:val="24"/>
        </w:rPr>
        <w:t>финансовым отделом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готовится предложение для </w:t>
      </w:r>
      <w:r w:rsidR="00B92379" w:rsidRPr="00762553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о нецелесообразности предоставления </w:t>
      </w:r>
      <w:r w:rsidR="00B92379" w:rsidRPr="00762553">
        <w:rPr>
          <w:rFonts w:ascii="Times New Roman" w:hAnsi="Times New Roman" w:cs="Times New Roman"/>
          <w:sz w:val="24"/>
          <w:szCs w:val="24"/>
        </w:rPr>
        <w:t>муниципальной гарантии</w:t>
      </w:r>
      <w:r w:rsidRPr="00762553">
        <w:rPr>
          <w:rFonts w:ascii="Times New Roman" w:hAnsi="Times New Roman" w:cs="Times New Roman"/>
          <w:sz w:val="24"/>
          <w:szCs w:val="24"/>
        </w:rPr>
        <w:t>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12. Исполнение Троснянским районом обязательства, предусмотренного муниципальной гарантией, осуществляется в соответствии с условиями выданной гарантии.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lastRenderedPageBreak/>
        <w:t>13. При наступлении гарантийного случая кредитор, помимо требования в письменной форме об исполнении гарантийного обязательства, представляет в администрацию района документы: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1) подтверждающие факт первоначального предъявления требования кредитора получателю гарантии;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2) свидетельствующие об отказе получателя гарантии удовлетворить предъявленное требование, либо информацию в администрацию района об их отсутствии;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3) платежные документы с отметкой банка, подтверждающие использование кредитором предоставленного ему получателем гарантии права на безакцептное списание.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14. Требование кредитора с приложенными к нему документами рассматривается финансовым отделом в сроки, предусмотренные договором.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15. В случае отказа признания требований кредитора обоснованными финансовый отдел в течение 10 рабочих дней со дня предъявления требования направляет кредитору мотивированное уведомление об отказе в удовлетворении этого требования.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Pr="00762553" w:rsidRDefault="008F72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F72B2" w:rsidRDefault="008F72B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06004" w:rsidRDefault="0080600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06004" w:rsidRDefault="0080600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5256EE" w:rsidRDefault="005256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56EE" w:rsidRDefault="005256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56EE" w:rsidRDefault="005256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56EE" w:rsidRDefault="005256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56EE" w:rsidRDefault="005256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56EE" w:rsidRDefault="005256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56EE" w:rsidRDefault="005256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56EE" w:rsidRDefault="005256E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C3588">
        <w:rPr>
          <w:rFonts w:ascii="Times New Roman" w:hAnsi="Times New Roman" w:cs="Times New Roman"/>
          <w:sz w:val="24"/>
          <w:szCs w:val="24"/>
        </w:rPr>
        <w:t>2</w:t>
      </w:r>
    </w:p>
    <w:p w:rsidR="00CE137A" w:rsidRPr="00762553" w:rsidRDefault="00CE13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к </w:t>
      </w:r>
      <w:r w:rsidR="005256EE">
        <w:rPr>
          <w:rFonts w:ascii="Times New Roman" w:hAnsi="Times New Roman" w:cs="Times New Roman"/>
          <w:sz w:val="24"/>
          <w:szCs w:val="24"/>
        </w:rPr>
        <w:t>решению</w:t>
      </w:r>
    </w:p>
    <w:p w:rsidR="00CE137A" w:rsidRPr="00762553" w:rsidRDefault="005256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РСНД Троснянского района</w:t>
      </w:r>
    </w:p>
    <w:p w:rsidR="00CE137A" w:rsidRPr="00762553" w:rsidRDefault="00CE13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от</w:t>
      </w:r>
      <w:r w:rsidR="002772FC" w:rsidRPr="00762553">
        <w:rPr>
          <w:rFonts w:ascii="Times New Roman" w:hAnsi="Times New Roman" w:cs="Times New Roman"/>
          <w:sz w:val="24"/>
          <w:szCs w:val="24"/>
        </w:rPr>
        <w:t xml:space="preserve"> </w:t>
      </w:r>
      <w:r w:rsidR="000135DB">
        <w:rPr>
          <w:rFonts w:ascii="Times New Roman" w:hAnsi="Times New Roman" w:cs="Times New Roman"/>
          <w:sz w:val="24"/>
          <w:szCs w:val="24"/>
        </w:rPr>
        <w:t>20</w:t>
      </w:r>
      <w:r w:rsidR="002772FC" w:rsidRPr="00762553">
        <w:rPr>
          <w:rFonts w:ascii="Times New Roman" w:hAnsi="Times New Roman" w:cs="Times New Roman"/>
          <w:sz w:val="24"/>
          <w:szCs w:val="24"/>
        </w:rPr>
        <w:t xml:space="preserve"> </w:t>
      </w:r>
      <w:r w:rsidR="005256E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2772FC" w:rsidRPr="00762553">
        <w:rPr>
          <w:rFonts w:ascii="Times New Roman" w:hAnsi="Times New Roman" w:cs="Times New Roman"/>
          <w:sz w:val="24"/>
          <w:szCs w:val="24"/>
        </w:rPr>
        <w:t xml:space="preserve"> </w:t>
      </w:r>
      <w:r w:rsidR="005256EE">
        <w:rPr>
          <w:rFonts w:ascii="Times New Roman" w:hAnsi="Times New Roman" w:cs="Times New Roman"/>
          <w:sz w:val="24"/>
          <w:szCs w:val="24"/>
        </w:rPr>
        <w:t xml:space="preserve"> 2016</w:t>
      </w:r>
      <w:r w:rsidR="002772FC" w:rsidRPr="00762553">
        <w:rPr>
          <w:rFonts w:ascii="Times New Roman" w:hAnsi="Times New Roman" w:cs="Times New Roman"/>
          <w:sz w:val="24"/>
          <w:szCs w:val="24"/>
        </w:rPr>
        <w:t>года  №</w:t>
      </w:r>
      <w:r w:rsidR="005256EE">
        <w:rPr>
          <w:rFonts w:ascii="Times New Roman" w:hAnsi="Times New Roman" w:cs="Times New Roman"/>
          <w:sz w:val="24"/>
          <w:szCs w:val="24"/>
        </w:rPr>
        <w:t>428</w:t>
      </w:r>
      <w:r w:rsidRPr="00762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МЕТОДИКА</w:t>
      </w:r>
    </w:p>
    <w:p w:rsidR="00CE137A" w:rsidRPr="00762553" w:rsidRDefault="00CE13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ОЦЕНКИ ФИНАНСОВОГО СОСТОЯНИЯ</w:t>
      </w:r>
    </w:p>
    <w:p w:rsidR="00CE137A" w:rsidRPr="00762553" w:rsidRDefault="00CE13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="002772FC" w:rsidRPr="00762553">
        <w:rPr>
          <w:rFonts w:ascii="Times New Roman" w:hAnsi="Times New Roman" w:cs="Times New Roman"/>
          <w:sz w:val="24"/>
          <w:szCs w:val="24"/>
        </w:rPr>
        <w:t>МУНИЦИПАЛЬНОЙ</w:t>
      </w:r>
      <w:r w:rsidRPr="00762553">
        <w:rPr>
          <w:rFonts w:ascii="Times New Roman" w:hAnsi="Times New Roman" w:cs="Times New Roman"/>
          <w:sz w:val="24"/>
          <w:szCs w:val="24"/>
        </w:rPr>
        <w:t xml:space="preserve"> ГАРАНТИИ</w:t>
      </w:r>
    </w:p>
    <w:p w:rsidR="00CE137A" w:rsidRPr="00762553" w:rsidRDefault="002772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ТРОСНЯНСКОГО РАЙОНА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1. Анализ финансового состояния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1.1. Определение собственных оборотных средств (СОС) как разности между собственным капиталом и внеоборотными активами: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СОС = стр. 490 - стр. 190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Если СОС &gt; 0, то анализируемое предприятие не испытывает недостатка собственных оборотных средств.</w:t>
      </w:r>
    </w:p>
    <w:p w:rsidR="00AB47E3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Если СОС &lt; 0, то анализируемое предприятие испытывает недостаток собственных оборотных средств, то есть его постоянные пасс</w:t>
      </w:r>
    </w:p>
    <w:p w:rsidR="00AB47E3" w:rsidRPr="00762553" w:rsidRDefault="00AB47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7E3" w:rsidRPr="00762553" w:rsidRDefault="00AB47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7E3" w:rsidRPr="00762553" w:rsidRDefault="00AB47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7E3" w:rsidRPr="00762553" w:rsidRDefault="00AB47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7E3" w:rsidRPr="00762553" w:rsidRDefault="00AB47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ивы недостаточны для финансирования постоянных активов.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1.2. Определение собственных и долгосрочных заемных средств (СДОС) как суммы собственных оборотных средств (СОС) и долгосрочных заемных средств: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СДОС = стр. 490 - стр. 190 + стр. 590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1.3. Определение общей величины основных источников формирования запасов и затрат предприятия (ООС), характеризующей достаточность нормальных источников формирования запасов и затрат предприятия: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ООС = стр. 490 - стр. 190 + стр. 590 + стр. 610 +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+ стр. 621 + стр. 622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1.4. Определение величины запасов и затрат (ЗИЗ), характеризующей наличие у предприятия запасов и затрат в незавершенном состоянии для ведения нормальной финансово-хозяйственной деятельности: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ЗИЗ = стр. 210 + стр. 220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1.5. На основании ранее определенных показателей определяется трехкомпонентный показатель типа финансовой ситуации на предприятии: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2160"/>
        <w:gridCol w:w="2025"/>
        <w:gridCol w:w="1890"/>
        <w:gridCol w:w="1485"/>
      </w:tblGrid>
      <w:tr w:rsidR="00CE137A" w:rsidRPr="007625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Тип финансовой ситуации                </w:t>
            </w:r>
          </w:p>
        </w:tc>
      </w:tr>
      <w:tr w:rsidR="00CE137A" w:rsidRPr="007625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  </w:t>
            </w:r>
            <w:r w:rsidRPr="007625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независимость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 </w:t>
            </w:r>
            <w:r w:rsidRPr="007625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независимость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Неустойчивое </w:t>
            </w:r>
            <w:r w:rsidRPr="007625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Кризисное </w:t>
            </w:r>
            <w:r w:rsidRPr="007625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состояние </w:t>
            </w:r>
          </w:p>
        </w:tc>
      </w:tr>
      <w:tr w:rsidR="00CE137A" w:rsidRPr="007625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Ф1 = СОС - ЗИЗ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Ф1 &gt;= 0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Ф1 &lt; 0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Ф1 &lt; 0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Ф1 &lt; 0    </w:t>
            </w:r>
          </w:p>
        </w:tc>
      </w:tr>
      <w:tr w:rsidR="00CE137A" w:rsidRPr="007625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Ф2 = СДОС - ЗИЗ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Ф2 &gt;= 0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Ф2 &gt;= 0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Ф2 &lt; 0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Ф2 &lt; 0    </w:t>
            </w:r>
          </w:p>
        </w:tc>
      </w:tr>
      <w:tr w:rsidR="00CE137A" w:rsidRPr="0076255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Ф3 = ООС - ЗИЗ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Ф3 &gt;= 0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Ф3 &gt;= 0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Ф3 &gt;= 0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7A" w:rsidRPr="00762553" w:rsidRDefault="00CE13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553">
              <w:rPr>
                <w:rFonts w:ascii="Times New Roman" w:hAnsi="Times New Roman" w:cs="Times New Roman"/>
                <w:sz w:val="24"/>
                <w:szCs w:val="24"/>
              </w:rPr>
              <w:t xml:space="preserve">Ф3 &lt; 0    </w:t>
            </w:r>
          </w:p>
        </w:tc>
      </w:tr>
    </w:tbl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- абсолютная независимость - предприятие имеет излишек всех источников формирования ЗИЗ, обладает платежеспособностью в любой момент времени;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- нормальная независимость - относительно стабильное финансовое состояние, предприятие имеет излишек СДОС и ООС и испытывает недостаток СОС (вынуждено прибегать к долгосрочным заемным источникам финансирования для оплаты первоочередных платежей);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- неустойчивое финансовое состояние - предприятие испытывает недостаток СОС и СДОС (нарушение платежеспособности, которая может быть восстановлена за счет пополнения источников собственных средств);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- кризисное финансовое состояние - предприятие полностью зависит от заемных источников финансирования (собственного капитала и заемных средств не хватает для финансирования материальных оборотных средств, т.е. пополнение запасов идет за счет средств, образующихся в результате замедления погашения кредиторской задолженности).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2. Анализ возможности банкротства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Проводится путем определения финансовых коэффициентов и сравнения их с нормативными значениями.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2.1. Определение коэффициента текущей ликвидности К1, характеризующего общую обеспеченность предприятия оборотными средствами для ведения хозяйственной деятельности и своевременного погашения срочных обязательств: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К1 = стр. 290 / (стр. 690 - стр. 640 - стр. 650)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К1 норм = 2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2.2. Определение коэффициента обеспеченности собственными средствами К2, характеризующего наличие собственных оборотных средств у предприятия, необходимых для его финансовой устойчивости: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К2 = (стр. 490 - стр. 190) / (стр. 290)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К2 норм = 0,1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2.3. Рассчитывается коэффициент восстановления (утраты) платежеспособности за период, равный сроку выдачи бюджетного кредита: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К3 = (К1 + X / (Т x (К1 - К1 норм))) / К1 норм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или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К3 = 0,5 x (К1 + X / (Т x (К1 - 2)))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где X - срок предоставления кредита, месяцев;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Т - отчетный период анализируемого баланса, месяцев.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Если хотя бы один из коэффициентов К1 или К2 имеет значение менее нормативного, это означает возможность потери платежеспособности. При этом, если К3 больше единицы, это свидетельствует о возможности восстановления платежеспособности, в противном случае восстановить платежеспособность не представляется возможным.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lastRenderedPageBreak/>
        <w:t>Если коэффициенты К1 или К2 имеют значение больше нормативного, а К3 больше единицы, то предприятие не утратит платежеспособность за период, равный сроку выдачи кредита.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3. Анализ финансовой устойчивости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Финансовая устойчивость отражает стабильность характеристик и определяется соотношением собственных и заемных средств предприятия. При этом рассчитываются следующие коэффициенты и сравниваются с нормативными значениями: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3.1. Определяется коэффициент финансовой независимости, показывающий удельный вес собственных средств в общей сумме средств, используемых в финансово-хозяйственной деятельности предприятия: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К4 = стр. 490 / стр. 300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Чем выше значение К4, тем предприятие более финансово устойчиво и независимо от внешних кредиторов.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3.2. Определяется коэффициент соотношения заемных и собственных средств К5: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К5 = (стр. 590 + стр. 690) / стр. 490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Рост К5 в динамике свидетельствует об усилении зависимости предприятия от внешних кредиторов и снижении финансовой устойчивости.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 xml:space="preserve">В случае предоставления в качестве обеспечения исполнения обязательств получателя гарантии </w:t>
      </w:r>
      <w:r w:rsidR="002772FC" w:rsidRPr="00762553">
        <w:rPr>
          <w:rFonts w:ascii="Times New Roman" w:hAnsi="Times New Roman" w:cs="Times New Roman"/>
          <w:sz w:val="24"/>
          <w:szCs w:val="24"/>
        </w:rPr>
        <w:t>Троснянского района</w:t>
      </w:r>
      <w:r w:rsidRPr="00762553">
        <w:rPr>
          <w:rFonts w:ascii="Times New Roman" w:hAnsi="Times New Roman" w:cs="Times New Roman"/>
          <w:sz w:val="24"/>
          <w:szCs w:val="24"/>
        </w:rPr>
        <w:t xml:space="preserve"> поручительства третьего лица финансовое состояние поручителя также оценивается по данной методике. Дополнительно производится расчет чистых активов (ЧА) поручителя путем вычитания из суммы активов, принимаемых к расчету, суммы пассивов, принимаемых к расчету. Стоимость чистых активов определяется по состоянию на начало и конец отчетного периода.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ЧА = (стр. 110 + стр. 120 + стр. 130 + стр. 135 +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+ стр. 140 + стр. 150 + стр. 210 + стр. 230 +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+ стр. 240 + стр. 250 + стр. 260 + стр. 270) -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- (стр. 510 + стр. 610 + стр. 620 + стр. 630 +</w:t>
      </w:r>
    </w:p>
    <w:p w:rsidR="00CE137A" w:rsidRPr="00762553" w:rsidRDefault="00CE13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+ стр. 650 + стр. 660)</w:t>
      </w:r>
    </w:p>
    <w:p w:rsidR="00CE137A" w:rsidRPr="00762553" w:rsidRDefault="00CE13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37A" w:rsidRPr="00762553" w:rsidRDefault="00CE137A" w:rsidP="00871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553">
        <w:rPr>
          <w:rFonts w:ascii="Times New Roman" w:hAnsi="Times New Roman" w:cs="Times New Roman"/>
          <w:sz w:val="24"/>
          <w:szCs w:val="24"/>
        </w:rPr>
        <w:t>Не принимаются поручительства юридических лиц, величина чистых активов которых меньше величины, равной трехкратной сумме предоставляемого кредита.</w:t>
      </w:r>
    </w:p>
    <w:sectPr w:rsidR="00CE137A" w:rsidRPr="0076255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64D40"/>
    <w:rsid w:val="000135DB"/>
    <w:rsid w:val="00083D97"/>
    <w:rsid w:val="001002EE"/>
    <w:rsid w:val="002772FC"/>
    <w:rsid w:val="002B465E"/>
    <w:rsid w:val="002F7ABF"/>
    <w:rsid w:val="005256EE"/>
    <w:rsid w:val="0058013B"/>
    <w:rsid w:val="00611736"/>
    <w:rsid w:val="00623C06"/>
    <w:rsid w:val="00705604"/>
    <w:rsid w:val="00762553"/>
    <w:rsid w:val="00804A0A"/>
    <w:rsid w:val="00806004"/>
    <w:rsid w:val="00871FD3"/>
    <w:rsid w:val="008F72B2"/>
    <w:rsid w:val="00901E36"/>
    <w:rsid w:val="009B1EB4"/>
    <w:rsid w:val="009C3588"/>
    <w:rsid w:val="00A00B89"/>
    <w:rsid w:val="00A44C80"/>
    <w:rsid w:val="00AB47E3"/>
    <w:rsid w:val="00AD486A"/>
    <w:rsid w:val="00B27A4F"/>
    <w:rsid w:val="00B330A4"/>
    <w:rsid w:val="00B92379"/>
    <w:rsid w:val="00BD7397"/>
    <w:rsid w:val="00C04F5A"/>
    <w:rsid w:val="00CE137A"/>
    <w:rsid w:val="00D057BB"/>
    <w:rsid w:val="00D135D0"/>
    <w:rsid w:val="00D15B75"/>
    <w:rsid w:val="00D64D40"/>
    <w:rsid w:val="00D73CF6"/>
    <w:rsid w:val="00D97D21"/>
    <w:rsid w:val="00E56E64"/>
    <w:rsid w:val="00ED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762553"/>
    <w:pPr>
      <w:suppressAutoHyphens/>
      <w:spacing w:after="0" w:line="240" w:lineRule="auto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5256EE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Admin</cp:lastModifiedBy>
  <cp:revision>2</cp:revision>
  <cp:lastPrinted>2016-04-14T08:11:00Z</cp:lastPrinted>
  <dcterms:created xsi:type="dcterms:W3CDTF">2016-04-18T08:43:00Z</dcterms:created>
  <dcterms:modified xsi:type="dcterms:W3CDTF">2016-04-18T08:43:00Z</dcterms:modified>
</cp:coreProperties>
</file>