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0" Type="http://schemas.openxmlformats.org/officeDocument/2006/relationships/extended-properties" Target="docProps/app.xml"/><Relationship Id="rId11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                                                                                                         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РОССИЙСКАЯ ФЕДЕРАЦИЯ</w:t>
      </w:r>
      <w:r>
        <w:rPr>
          <w:b w:val="true"/>
          <w:rFonts w:ascii="Arial" w:eastAsia="Arial" w:hAnsi="Arial" w:cs="Arial"/>
          <w:sz w:val="24"/>
        </w:rPr>
        <w:br w:type="textWrapping" w:clear="none"/>
      </w:r>
      <w:r>
        <w:rPr>
          <w:b w:val="true"/>
          <w:rFonts w:ascii="Arial" w:eastAsia="Arial" w:hAnsi="Arial" w:cs="Arial"/>
          <w:sz w:val="24"/>
        </w:rPr>
        <w:t xml:space="preserve">ОРЛОВСКАЯ ОБЛАСТЬ</w:t>
      </w:r>
      <w:r>
        <w:rPr>
          <w:b w:val="true"/>
          <w:rFonts w:ascii="Arial" w:eastAsia="Arial" w:hAnsi="Arial" w:cs="Arial"/>
          <w:sz w:val="24"/>
        </w:rPr>
        <w:br w:type="textWrapping" w:clear="none"/>
      </w:r>
      <w:r>
        <w:rPr>
          <w:b w:val="true"/>
          <w:rFonts w:ascii="Arial" w:eastAsia="Arial" w:hAnsi="Arial" w:cs="Arial"/>
          <w:sz w:val="24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ПОСТАНОВЛЕНИЕ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28 декабря 2010  №246</w:t>
      </w:r>
      <w:r>
        <w:rPr>
          <w:spacing w:val="20"/>
          <w:rFonts w:ascii="Arial" w:eastAsia="Arial" w:hAnsi="Arial" w:cs="Arial"/>
          <w:sz w:val="24"/>
          <w:i w:val="true"/>
        </w:rPr>
        <w:br w:type="textWrapping" w:clear="none"/>
      </w:r>
      <w:r>
        <w:rPr>
          <w:spacing w:val="20"/>
          <w:rFonts w:ascii="Arial" w:eastAsia="Arial" w:hAnsi="Arial" w:cs="Arial"/>
          <w:sz w:val="24"/>
          <w:i w:val="true"/>
        </w:rPr>
        <w:t xml:space="preserve">       </w:t>
      </w:r>
      <w:r>
        <w:rPr>
          <w:rFonts w:ascii="Arial" w:eastAsia="Arial" w:hAnsi="Arial" w:cs="Arial"/>
          <w:sz w:val="24"/>
        </w:rPr>
        <w:t xml:space="preserve">с.Тросна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«</w:t>
      </w:r>
      <w:r>
        <w:rPr>
          <w:b w:val="true"/>
          <w:rFonts w:ascii="Arial" w:eastAsia="Arial" w:hAnsi="Arial" w:cs="Arial"/>
          <w:sz w:val="24"/>
        </w:rPr>
        <w:t xml:space="preserve">Об утверждении новой редакции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Положения о градостроительной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деятельности на территории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Троснянского района</w:t>
      </w:r>
      <w:r>
        <w:rPr>
          <w:b w:val="true"/>
          <w:rFonts w:ascii="Arial" w:eastAsia="Arial" w:hAnsi="Arial" w:cs="Arial"/>
          <w:sz w:val="24"/>
        </w:rPr>
        <w:t xml:space="preserve">»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spacing w:val="10"/>
          <w:rFonts w:ascii="Arial" w:eastAsia="Arial" w:hAnsi="Arial" w:cs="Arial"/>
          <w:sz w:val="24"/>
        </w:rPr>
      </w:pPr>
      <w:r>
        <w:rPr>
          <w:spacing w:val="10"/>
          <w:rFonts w:ascii="Arial" w:eastAsia="Arial" w:hAnsi="Arial" w:cs="Arial"/>
          <w:sz w:val="24"/>
        </w:rPr>
        <w:t xml:space="preserve">Троснянский районный Совет народных депутатов ПОСТАНОВЛЯЕТ: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spacing w:val="10"/>
          <w:rFonts w:ascii="Arial" w:eastAsia="Arial" w:hAnsi="Arial" w:cs="Arial"/>
          <w:sz w:val="24"/>
        </w:rPr>
      </w:pPr>
      <w:r>
        <w:rPr>
          <w:spacing w:val="10"/>
          <w:rFonts w:ascii="Arial" w:eastAsia="Arial" w:hAnsi="Arial" w:cs="Arial"/>
          <w:sz w:val="24"/>
        </w:rPr>
        <w:t xml:space="preserve">   1.Утвердить в новой редакции Положения</w:t>
      </w:r>
      <w:r>
        <w:rPr>
          <w:rFonts w:ascii="Arial" w:eastAsia="Arial" w:hAnsi="Arial" w:cs="Arial"/>
          <w:sz w:val="24"/>
        </w:rPr>
        <w:t xml:space="preserve"> о градостроительной деятельности на территории Троснянского района»</w:t>
      </w:r>
      <w:r>
        <w:rPr>
          <w:b w:val="true"/>
          <w:spacing w:val="10"/>
          <w:rFonts w:ascii="Arial" w:eastAsia="Arial" w:hAnsi="Arial" w:cs="Arial"/>
          <w:sz w:val="24"/>
        </w:rPr>
        <w:t xml:space="preserve">. </w:t>
      </w:r>
      <w:r>
        <w:rPr>
          <w:spacing w:val="10"/>
          <w:rFonts w:ascii="Arial" w:eastAsia="Arial" w:hAnsi="Arial" w:cs="Arial"/>
          <w:sz w:val="24"/>
        </w:rPr>
        <w:t xml:space="preserve">(в окончательной редакции)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spacing w:val="10"/>
          <w:rFonts w:ascii="Arial" w:eastAsia="Arial" w:hAnsi="Arial" w:cs="Arial"/>
          <w:sz w:val="24"/>
        </w:rPr>
        <w:t xml:space="preserve">   2.Направить принятое Постановление Главе Троснянского района для подписания и опубликования.</w:t>
      </w:r>
      <w:r>
        <w:rPr>
          <w:rFonts w:ascii="Arial" w:eastAsia="Arial" w:hAnsi="Arial" w:cs="Arial"/>
          <w:sz w:val="24"/>
        </w:rPr>
        <w:t xml:space="preserve">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spacing w:val="10"/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3.Настоящее Постановление вступает в силу с момента его официального опубликования.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tabs>
          <w:tab w:val="left" w:pos="720"/>
          <w:tab w:val="left" w:pos="1070"/>
        </w:tabs>
        <w:rPr>
          <w:spacing w:val="10"/>
          <w:rFonts w:ascii="Arial" w:eastAsia="Arial" w:hAnsi="Arial" w:cs="Arial"/>
          <w:sz w:val="24"/>
        </w:rPr>
      </w:pPr>
      <w:r>
        <w:rPr>
          <w:spacing w:val="10"/>
          <w:rFonts w:ascii="Arial" w:eastAsia="Arial" w:hAnsi="Arial" w:cs="Arial"/>
          <w:sz w:val="24"/>
        </w:rPr>
        <w:t xml:space="preserve">  4.Признать утратившим силу Постановление Троснянского районного Совета народных депутатов  от  06.08.09г. №204.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tabs>
          <w:tab w:val="left" w:pos="1070"/>
        </w:tabs>
        <w:rPr>
          <w:spacing w:val="10"/>
          <w:rFonts w:ascii="Arial" w:eastAsia="Arial" w:hAnsi="Arial" w:cs="Arial"/>
          <w:sz w:val="24"/>
        </w:rPr>
      </w:pPr>
      <w:r>
        <w:rPr>
          <w:spacing w:val="10"/>
          <w:rFonts w:ascii="Arial" w:eastAsia="Arial" w:hAnsi="Arial" w:cs="Arial"/>
          <w:sz w:val="24"/>
        </w:rPr>
        <w:t xml:space="preserve">  5.Контроль за исполнением данного Постановления возложить на комитет по агропромышленному комплексу.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tabs>
          <w:tab w:val="left" w:pos="1070"/>
        </w:tabs>
        <w:rPr>
          <w:spacing w:val="10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tabs>
          <w:tab w:val="left" w:pos="1070"/>
        </w:tabs>
        <w:rPr>
          <w:spacing w:val="10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tabs>
          <w:tab w:val="left" w:pos="1070"/>
        </w:tabs>
        <w:rPr>
          <w:spacing w:val="10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tabs>
          <w:tab w:val="left" w:pos="1070"/>
        </w:tabs>
        <w:rPr>
          <w:spacing w:val="10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tabs>
          <w:tab w:val="left" w:pos="1070"/>
        </w:tabs>
        <w:rPr>
          <w:spacing w:val="10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Председатель районного Совета                     Глава Троснянского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народных депутатов                                           района                      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                                                      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В.Г.Харлашкин                                                      В.И.Быков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pict>
          <v:shape id="_x0000_s1026" type="#_x0000_t202" style="position:absolute;margin-left:313.200012pt;margin-top:87.099998pt;margin-bottom:102.250000pt;margin-right:418.049988pt;width:104.849998pt;height:15.150000pt;mso-position-horizontal-relative:margin;z-index:251667728;mso-wrap-distance-left:1.900000pt;mso-wrap-distance-right:1.900000pt;mso-wrap-distance-bottom:3.350000pt" o:allowincell="true" o:allowoverlap="true" filled="f" stroked="f">
            <w10:wrap type="topAndBottom" side="both"/>
            <v:textbox inset="0.00pt,0.00pt,0.00pt,0.00pt">
              <w:txbxContent>
                <w:p>
                  <w:pPr>
                    <w:jc w:val="left"/>
                    <w:textAlignment w:val="auto"/>
                    <w:ind w:left="0" w:right="0" w:start="0" w:end="0"/>
                    <w:adjustRightInd w:val="true"/>
                    <w:spacing w:after="0" w:line="240"/>
                    <w:bidi w:val="false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</w:p>
              </w:txbxContent>
            </v:textbox>
          </v:shape>
        </w:pic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             Приложение к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 Постановлению Троснянского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                                                               Районного Совета народных депутатов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                                                                        «Об утверждении Положения о градостроительной деятельности</w:t>
      </w:r>
    </w:p>
    <w:p>
      <w:pPr>
        <w:jc w:val="right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false"/>
          <w:rFonts w:ascii="Arial" w:eastAsia="Arial" w:hAnsi="Arial" w:cs="Arial"/>
          <w:sz w:val="24"/>
        </w:rPr>
      </w:pPr>
      <w:r>
        <w:rPr>
          <w:b w:val="false"/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  на территории Троснянского района»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Положение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о  градостроительной деятельности на территории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Троснянского района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1. Общие положения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Настоящее положение является муниципальным правовым актом, регулирующим отношения между органами государственной власти области, органами местного самоуправления, а также физическими и юридическими лицами, возникающими при территориальном планировании и осуществлении градостроительной деятельности на территории муниципального района (далее - градостроительные отношения).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Основной для разработки данного положения являются: Градостроительный кодекс РФ, федеральный закон «Об общих принципах организации местного самоуправления в Российской Федерации», Градостроительный кодекс Орловской области и иные нормативные правовые акты, принятые в развитие этих документов.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Настоящее положение определяет: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полномочия представительного и исполнительно-распорядительного органов местного самоуправления в сфере градостроительной деятельности;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принципы регулирования градостроительной деятельности на территории муниципального района органами местного самоуправления;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документы территориального планирования муниципального района, основные положения об их составе, порядке подготовки и утверждения;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-  виды местных правовых и нормативных актов, устанавливающих требования и ограничения к использованию и застройке территорий, основные положения об их содержании, порядке подготовки и утверждения;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положения об участии граждан, общественных объединений и юридических лиц в обсуждении и принятии решений в области градостроительной деятельности.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Градостроительная деятельность на территории муниципального района    осуществляется    на основе следующих принципов: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правовое закрепление основ государственной градостроительной политики на территории муниципального района;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 правовой характер регулирования градостроительной деятельности на основе законодательства Российской Федерации, законов Орловской области и муниципальных правовых актов;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- обеспечение учета и сбалансированности государственных, общественных и частных интересов;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 сохранение единства функционирования, планирования и развития инженерной, транспортной, социальной и прочих инфраструктур муниципального образования;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регулирование градостроительной деятельности с учетом положений социальных, экономических, экологических, культурных и иных программ развития, принятых в установленном порядке органами государственной власти Российской Федерации, Орловской области и местного самоуправления;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обеспечение формирования на территории муниципального образования благоприятного инвестиционного климата посредством максимального упрощения процедур согласования разрешительной документации на строительства при безусловном соблюдении требований федерального и областного законодательства, обеспечения предсказуемости и стабильности градостроительных требований при возможности выбора видов использования земельных участков;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 обеспечение открытости процедур принятия градостроительных решений;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 обеспечение доступности информационного обеспечения градостроительной деятельности на территории муниципального образования;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- тесное взаимодействие органов местного самоуправления с органами государственной власти Российской Федерации, органами государственной власти Орловской области и иных заинтересованных субъектов Российской Федерации при территориальном планировании развития и градостроительном регулировании использования территорий муниципального образования и других принципах, определенных в статье 2 Градостроительного кодекса Российской Федерации.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5) Понятия и термины, применяемые в настоящем правовом акте, если не оговорено иное, полностью соответствуют понятиям и терминам, применяемым в Градостроительном кодексе Российской Федерации. 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2. Вопросы местного значения в сфере регулирования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градостроительной деятельности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 Полномочия Троснянского районного Совета народных депутатов: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 утверждение схем территориального планирования муниципального района;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утверждение подготовленной на основе схемы территориального планирования муниципального района документации по планировке территории, за исключением случаев, предусмотренных Градостроительным кодексом Российской Федерации.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 Полномочия администрации Троснянского района: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ведение информационной системы обеспечения градостроительной деятельности, осуществляемой на территории муниципального района;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Троснянского района;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резервирование и изъятие, в том числе путем выкупа, земельных участков в границах муниципального района для муниципальных нужд;        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- рассмотрение и согласование проектов схем территориального планирования Российской Федерации и Орловской области, подготовленных применительно к территории муниципального района,  в части учета в предложениях, содержащихся в указанном проекте, положений о территориальном планировании, содержащихся в документах территориального планирования муниципального района, учета правил землепользования и застройки, предложений  об изменении границ земельных участков, находящихся в муниципальной собственности, а также вопросы размещения объектов капитального строительства федерального значения, которые могут оказать негативное воздействие на окружающую среду на территориях муниципального района;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-подготовка к утверждению схемы территориального планирования муниципального района, а также плана реализации схемы;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принятие в соответствии с Градостроительным кодексом Российской Федерации положения о составе, порядке подготовки и утверждения схемы территориального планирования муниципального района, внесения  изменений в схему, подготовки плана ее реализации;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принятие в соответствии с Градостроительным кодексом положения о составе и содержания документации по планировке территории, подготавливаемых на основании решений документов территориального планирования;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принятие в соответствии с Градостроительным кодексом Российской Федерации порядка формирования и деятельности комиссии по подготовке правил землепользования и застройки;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выступать инициатором совместной подготовки проектов документов территориального планирования.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2.3. Компетенция архитектора Троснянского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Архитектор Троснянского района: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участвует в подготовке проектов местных нормативных правовых актов в сфере архитектуры и градостроительства;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участвует в разработке и реализации градостроительных программ, градостроительных разделов местных целевых программ и программ социально-экономического развития территории муниципального района;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организует подготовку и утверждение схемы территориального планирования муниципального района и плана её реализации;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организует подготовку и утверждение документов по планировке территории для размещения объектов капитального строительства местного значения;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обеспечивает взаимодействие участников правоотношений в сфере градостроительной деятельности на территории муниципального района;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выдает разрешения на строительство, разрешений на ввод объектов в эксплуатацию объектов капитального строительства, расположенных на территории Троснянского района;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оформляет и выдает градостроительные планы земельных участков;             участвует в проведении мероприятий по созданию и ведению информационной системы обеспечения градостроительной деятельности, осуществляемой на территории муниципального района;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обеспечивает контроль за осуществлением работ по строительству и реконструкции объектов недвижимости в соответствии с разрешением на строительство, а также градостроительными регламентами, строительными нормами и правилами.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3.</w:t>
      </w:r>
      <w:r>
        <w:rPr>
          <w:rFonts w:ascii="Arial" w:eastAsia="Arial" w:hAnsi="Arial" w:cs="Arial"/>
          <w:sz w:val="24"/>
        </w:rPr>
        <w:t xml:space="preserve"> </w:t>
      </w:r>
      <w:r>
        <w:rPr>
          <w:b w:val="true"/>
          <w:rFonts w:ascii="Arial" w:eastAsia="Arial" w:hAnsi="Arial" w:cs="Arial"/>
          <w:sz w:val="24"/>
        </w:rPr>
        <w:t xml:space="preserve">Документы территориального планирования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муниципального района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3.1 Назначение и виды документов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Территориальное планирование развития территории муниципального района осуществляется посредством разработки документов территориального планирования.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Документами территориального планирования муниципального района являются схемы территориального планирования муниципального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2) Документы территориального планирования муниципального образования являются обязательными для органов местного самоуправления при принятии ими решений и реализации таких решений.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Состав, порядок подготовки документов территориального планирования муниципальных района, внесение изменений в эти документы, подготовки и утверждения планов их реализации устанавливаются в соответствии Градостроительным кодексом Российской Федерации, законами Орловской области, нормативными правовыми актами органа местного самоуправления.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Arial" w:eastAsia="Arial" w:hAnsi="Arial" w:cs="Arial"/>
          <w:sz w:val="24"/>
        </w:rPr>
        <w:t xml:space="preserve">3.2. Подготовка и утверждение схем территориального       планирования муниципального района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1) Подготовка схем территориального планирования муниципального района осуществляется в соответствии с положениями Градостроительного кодекса Российской Федерации.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Согласование проекта схемы территориального планирования муниципального района осуществляется в порядке, уполномоченным Правительством Российской Федерации федеральным органом исполнительной власти.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3) Схемы территориального планирования муниципального района, в том числе внесение изменений в такую схему, утверждается представительным органом местного самоуправления муниципального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4) Для реализации схемы территориального планирования муниципального района  главой местной администрации муниципального района в течение трех месяцев со дня утверждения схемы утверждается план реализации схемы территориального планирования муниципального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Содержание плана реализации должно отражать требования статьи 22 Градостроительного кодекса Российской Федерации.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3.3. Публичные слушания по вопросам в сфере градостроительной деятельности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1) В соответствии с существующим законодательством на публичные слушания выносятся следующие вопросы в сфере градостроительной деятельности: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- рассмотрение проектов генеральных планов поселений;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- рассмотрение проектов правил землепользования и застройки;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- рассмотрение проектов планировки территорий и проекты межевания территорий;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- предоставления разрешений на условно разрешенный вид использования земельных участков и объектов капитального строительства;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- отклонения от предельных параметров разрешенного строительства, реконструкции объектов капитального строительства.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2) Порядок проведения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с учетом статьи 28 Градостроительного кодекса Российской Федерации.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Глава 4. Регулирование использования и застройки территории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муниципального образования при осуществлении</w:t>
      </w:r>
    </w:p>
    <w:p>
      <w:pPr>
        <w:jc w:val="center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градостроительной деятельности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keepNext w:val="true"/>
        <w:outlineLvl w:val="1"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4.1. Общие требования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Регулирование использования и застройки территории муниципального района  осуществляется органом местного самоуправления муниципального образования в соответствии с федеральным законодательством и законодательством Орловской области и включает: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введение в действие муниципальных правовых и нормативных актов, которыми устанавливаются требования и ограничения к использованию и застройке территорий муниципального образования;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подготовку, согласование и утверждение документов территориального планирования;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подготовку, согласование и утверждение документации по планировке территории;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согласование проектной документации на строительство, реконструкцию, капитальный ремонт зданий и сооружений и их частей, а также благоустройство земельных участков;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выдачу разрешений на строительство и разрешений на ввод объектов в эксплуатацию;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осуществление земельного контроля за использованием земель.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Требования и ограничения к использованию и застройке территорий муниципального района устанавливаются  следующими муниципальными нормативными правовыми актами: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правилами землепользования и застройки, а также изменениями и дополнениями, вносимыми в них в установленном порядке;            утвержденной документацией территориального планирования и документами по планировке территорий, а также изменениями и дополнениями, вносимыми в них в установленном порядке;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местными нормативами градостроительного проектирования;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местными целевыми программами и программами социально-экономического развития территории муниципального образования;  решениями органа местного самоуправления о резервировании территорий для государственных и общественных нужд;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проектами границ земельных участков;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правовыми актами об установлении публичных сервитутов;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градостроительными регламентами;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иными актами в соответствии с федеральным законодательством и законодательством Орловской области.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4.2. Правила землепользования и застройки.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Порядок их подготовки, согласования, утверждения и изменения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Подготовка проекта правил землепользования и застройки применительно к межселенным территориям осуществляется в случае планирования застройки таких территорий.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Решение о подготовке проекта правил землепользования и застройки принимает глава местной администрации.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застройки. Сообщение о принятии такого решения подлежит опубликованию в порядке, установленном для официального опубликования муниципальных правовых актов, иной официальной информации в соответствии с требованиями статьи 31 Градостроительного кодекса Российской Федерации.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Порядок подготовки, рассмотрения и утверждения проекта правил землепользования и застройки, а также порядок внесения в них изменений установлен статьями 31 и 32 Градостроительным кодексом Российской Федерации.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4) Правила землепользования и застройки должны соответствовать требованиям технических регламентов и отражать положения о территориальном планировании, содержащихся в документах территориального планирования муниципального образования, схемах территориального планирования области, схемах территориального планирования Российской Федерации.</w:t>
      </w:r>
    </w:p>
    <w:p>
      <w:pPr>
        <w:keepNext w:val="true"/>
        <w:outlineLvl w:val="1"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4.3. Градостроительные регламенты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Градостроительные регламенты устанавливают правовой режим земельных участков расположенных в границах территориальных зон, установленных в проекте правил землепользования и застройки.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в соответствии со статьей 36 Градостроительного кодекса Российской Федерации, в том числе уполномоченными органами местного самоуправления.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4.4. Подготовка и утверждение местных  нормативов градостроительного проектирования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Органы местного самоуправления могут принимать местные нормативы градостроительного проектирования.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Утверждение местных нормативов градостроительного проектирования осуществляется с учетом особенностей населенных пунктов в границах муниципального образования, межселенных территорий.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Состав, порядок подготовки и утверждения местных нормативов градостроительного проектирования устанавливаются нормативными правовыми актами органа местного самоуправления.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4.5. Планировка территории.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Подготовка документации по планировке территории осуществляется в соответствии с утвержденными документации территориального планирования, правилами застройки, а также иными требованиями и ограничениями, определенными главой 5 статьями 41-46 Градостроительного кодекса Российской Федерации.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При подготовке документации по планировке территории может осуществляться разработка: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проектов планировки территории;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проектов межевания территории;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градостроительных планов земельных участков.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Решения о подготовке документации по планировке территории муниципальных образований принимает исполнительно-распорядительный орган местного самоуправления.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4) Архитектор района обеспечивают подготовку документации по планировке территории на основании схемы территориального планирования муниципального района, если в ней предусмотрено размещение объектов капитального строительства местного значения или объектов капитального строительства на межселенных территориях, а также на основании правил землепользования и застройки межселенных территорий.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5) Порядок подготовки документации по планировке территории, разрабатываемой на основании решения органа местного самоуправления, устанавливается нормативным правовым актом органа местного самоуправления в соответствии с Градостроительным кодексом Российской Федерации.</w:t>
      </w:r>
    </w:p>
    <w:p>
      <w:pPr>
        <w:keepNext w:val="true"/>
        <w:outlineLvl w:val="1"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4.6. Подготовка проектов планировки территории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Проект планировки территории разрабатывается для выделения элементов планировочной структуры, установления параметров планируемого развития элементов планировочной структуры. Проект планировки является основным видом документации по планировке территории и основой для разработки проектов межевания территорий.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Состав и содержание проектов планировки территории, подготовка которых осуществляется на основании схемы территориального планирования области, документов территориального планирования муниципальных образований, устанавливаются  областным законодательство в соответствии со статьей 42 Градостроительного кодекса Российской Федерации.</w:t>
      </w:r>
    </w:p>
    <w:p>
      <w:pPr>
        <w:keepNext w:val="true"/>
        <w:outlineLvl w:val="1"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4.7. Проекты межевания территорий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Подготовка проектов межевания территорий осуществляется в составе проектов планировки территории или в виде отдельного документа. Порядок подготовки проектов межевания, а также состав проекта определен в статье 43 Градостроительного кодекса Российской Федерации.            </w:t>
      </w:r>
    </w:p>
    <w:p>
      <w:pPr>
        <w:keepNext w:val="true"/>
        <w:outlineLvl w:val="1"/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4.8. Подготовка градостроительных планов        земельных участков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В соответствии со статьей 44 Градостроительного кодекса РФ подготовка градостроительных планов земельных участков осуществляется применительно к застроенным или предназначенным для застройки, реконструкции объектов капитального строительства земельным участкам.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Подготовка градостроительного плана земельного участка осуществляется в составе проекта межевания территории или в виде отдельного документа.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Оформление градостроительного плана осуществляется по форме, установленной постановлением Правительства Российской Федерации.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Изготовление и выдачу градостроительного плана земельного участка по заявке физического или юридического лица осуществляет уполномоченный на то орган местного самоуправления.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5) Сведения градостроительного плана учитываются в соответствующей информационной системе градостроительной деятельности с указанием количества изготовленных экземпляров.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6) Изменения в градостроительный план вносятся в соответствии с принимаемыми на основании документов территориального планирования, правилами землепользования и застройки решениями органа местного самоуправления, утвердившего градостроительный план земельного участка.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4.9. Проектная документация, строительство и       реконструкция объектов капитального строительства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numPr>
          <w:ilvl w:val="0"/>
          <w:numId w:val="4"/>
        </w:numPr>
        <w:tabs>
          <w:tab w:val="left" w:pos="0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Проектная  документация   на       строительство (реконструкцию)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объектов на территории муниципального района должна соответствовать требованиям по использованию и застройке территории участка: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утвержденным документам территориального планирования;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установленным техническим регламентам;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выданному градостроительному плану земельного участка;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техническим условиям на присоединение к сетям инженерно-технического обеспечения;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иным требованиям, установленным в соответствии с федеральным законодательством и законодательством Орловской области.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Состав, содержание, порядок согласования, экспертизы, утверждения, внесения изменений, хранения и применения проектной документации определяются в соответствии с федеральным законодательством, законодательством Орловской области и принятыми в соответствии с ними нормативными правовыми актами органов местного самоуправления.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Утвержденная в установленном порядке проектная документация является основанием для выдачи разрешения на строительство.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4.10. Выдача разрешений на строительство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Орган местного самоуправления выдает разрешение на строительство: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земельном участке, на который не распространяется действие градостроительного регламента или для которого не устанавливается градостроительный регламент в соответствии с компетенцией органа;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объектов местного значения, при размещении которых допускается изъятие, в том числе путем выкупа, земельных участков;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других случаях по месту нахождения земельного участка.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В целях получения разрешения на строительство застройщик направляет в орган местного самоуправления заявление о выдаче разрешения на строительство. К заявлению прилагаются документы, определенные статьей 51 Градостроительного кодекса Российской Федерации.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Выдача разрешение на строительство осуществляется в порядке установленном Градостроительным кодексом РФ, федеральными и областными нормативными правовыми актами.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4) Выдача разрешения на строительство осуществляется без взимания платы.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4.11. Выдача разрешения на ввод объекта в эксплуатацию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1) Для ввода объекта в эксплуатацию застройщик обращается в орган местного самоуправления, выдавший разрешение на строительство, с заявлением о выдаче разрешения на ввод объекта в эксплуатацию.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Перечень документов, прилагающихся к заявлению о выдаче разрешения на ввод объекта в эксплуатацию должен соответствовать требованиям части 3 статьи 55 Градостроительного кодекса РФ.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Разрешение на ввод объекта в эксплуатацию выдается в порядке и по форме установленном Правительством Российской Федерации.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4.) Разрешение на ввод объекта в эксплуатацию подписывается должностным лицом органа местного самоуправления, которое в установленном порядке наделено данными полномочиями.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5) Порядковый номер разрешения на ввод объекта в эксплуатацию должен соответствовать порядковому номеру разрешения на строительство, выданному на данный объект.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6) Копия разрешения вместе с заявлением на получение разрешения и прилагаемые к заявлению документами хранятся в соответствующем отделе органа местного самоуправления, его выдавшем.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5. Информационное обеспечение градостроительной деятельности</w:t>
      </w:r>
      <w:r>
        <w:rPr>
          <w:rFonts w:ascii="Arial" w:eastAsia="Arial" w:hAnsi="Arial" w:cs="Arial"/>
          <w:sz w:val="24"/>
        </w:rPr>
        <w:t xml:space="preserve"> 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Ведение информационной системы обеспечение градостроительной деятельности на территории муниципального района осуществляется путем сбора, документирования, актуализации, обработки, систематизации, учета и хранения сведений, необходимых для осуществления градостроительной деятельности в порядке установленном статьями 56 и 57 Градостроительного кодекса РФ, также постановления Правительства Российской Федерации по данному вопросу.    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6. Ответственность  за нарушение законодательства о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                     градостроительной деятельности           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1) Лица, виновные в нарушении законодательства о градостроительной деятельности, несут дисциплинарную, имущественную, административную, уголовную ответственность в соответствии с законодательством Российской Федерации.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Возмещение вреда, причиненного жизни или здоровью физических лиц, имуществу физических и юридических лиц при осуществлении градостроительной деятельности, определяется статьями 59 и 60 Градостроительного кодекса РФ.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3) Орган местного самоуправления для установления причин нарушения законодательства о градостроительной деятельности создает техническую комиссию.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Порядок установления причин нарушения законодательства о градостроительной деятельности в отношении объектов индивидуального жилищного строительства, а  также, если вред жизни или здоровью физических лиц либо значительный вред имуществу физических или юридических лиц не причиняется, устанавливается решением главы администрации района.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</w:t>
      </w: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1" w:top="1134" w:bottom="1134" w:gutter="0" w:header="709" w:footer="709"/>
      <w:titlePg/>
      <w:headerReference w:type="even" r:id="rId3"/>
      <w:headerReference w:type="default" r:id="rId4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framePr w:hAnchor="margin" w:xAlign="center" w:vAnchor="text" w:y="0" w:wrap="around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  <w:fldSimple w:instr="PAGE"/>
  </w:p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framePr w:hAnchor="margin" w:xAlign="center" w:vAnchor="text" w:y="0" w:wrap="around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  <w:fldSimple w:instr="PAGE">
      <w:r>
        <w:rPr>
          <w:rFonts w:ascii="Times New Roman" w:eastAsia="Times New Roman" w:hAnsi="Times New Roman" w:cs="Times New Roman"/>
          <w:sz w:val="24"/>
        </w:rPr>
        <w:t xml:space="preserve">10</w:t>
      </w:r>
    </w:fldSimple>
  </w:p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</w:hdr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201014161">
    <w:multiLevelType w:val="multilevel"/>
    <w:tmpl w:val="925eb19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495" w:left="855" w:start="855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</w:abstractNum>
  <w:abstractNum w:abstractNumId="1072703672">
    <w:multiLevelType w:val="hybridMultilevel"/>
    <w:tmpl w:val="76948f22"/>
    <w:lvl w:ilvl="0">
      <w:lvlJc w:val="left"/>
      <w:lvlText w:val="%1."/>
      <w:numFmt w:val="decimal"/>
      <w:start w:val="1"/>
      <w:suff w:val="tab"/>
      <w:pPr>
        <w:ind w:hanging="540" w:left="1395" w:start="1395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935" w:start="1935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655" w:start="2655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375" w:start="3375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4095" w:start="4095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815" w:start="4815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535" w:start="5535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255" w:start="6255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975" w:start="6975"/>
      </w:pPr>
      <w:rPr>
        <w:rFonts w:ascii="Times New Roman" w:eastAsia="Times New Roman" w:hAnsi="Times New Roman" w:cs="Times New Roman"/>
        <w:sz w:val="24"/>
      </w:rPr>
    </w:lvl>
  </w:abstractNum>
  <w:abstractNum w:abstractNumId="1163206516">
    <w:multiLevelType w:val="hybridMultilevel"/>
    <w:tmpl w:val="72d010ee"/>
    <w:lvl w:ilvl="0">
      <w:lvlJc w:val="left"/>
      <w:lvlText w:val="%1."/>
      <w:numFmt w:val="decimal"/>
      <w:start w:val="1"/>
      <w:suff w:val="tab"/>
      <w:pPr>
        <w:ind w:hanging="360" w:left="2325" w:start="2325"/>
      </w:pPr>
      <w:rPr>
        <w:rFonts w:ascii="Times New Roman" w:eastAsia="Times New Roman" w:hAnsi="Times New Roman" w:cs="Times New Roman"/>
        <w:sz w:val="28"/>
      </w:rPr>
    </w:lvl>
    <w:lvl w:ilvl="1" w:tentative="1">
      <w:lvlJc w:val="left"/>
      <w:lvlText w:val="%2."/>
      <w:numFmt w:val="lowerLetter"/>
      <w:start w:val="1"/>
      <w:suff w:val="tab"/>
      <w:pPr>
        <w:ind w:hanging="360" w:left="3045" w:start="3045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3765" w:start="3765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4485" w:start="4485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5205" w:start="5205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5925" w:start="5925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6645" w:start="6645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7365" w:start="7365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8085" w:start="8085"/>
      </w:pPr>
      <w:rPr>
        <w:rFonts w:ascii="Times New Roman" w:eastAsia="Times New Roman" w:hAnsi="Times New Roman" w:cs="Times New Roman"/>
        <w:sz w:val="24"/>
      </w:rPr>
    </w:lvl>
  </w:abstractNum>
  <w:abstractNum w:abstractNumId="1487743061">
    <w:multiLevelType w:val="hybridMultilevel"/>
    <w:tmpl w:val="d0e45f9e"/>
    <w:lvl w:ilvl="0">
      <w:lvlJc w:val="left"/>
      <w:lvlText w:val="%1)"/>
      <w:numFmt w:val="decimal"/>
      <w:start w:val="1"/>
      <w:suff w:val="tab"/>
      <w:pPr>
        <w:ind w:hanging="360" w:left="1215" w:start="1215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935" w:start="1935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655" w:start="2655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375" w:start="3375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4095" w:start="4095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815" w:start="4815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535" w:start="5535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255" w:start="6255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975" w:start="6975"/>
      </w:pPr>
      <w:rPr>
        <w:rFonts w:ascii="Times New Roman" w:eastAsia="Times New Roman" w:hAnsi="Times New Roman" w:cs="Times New Roman"/>
        <w:sz w:val="24"/>
      </w:rPr>
    </w:lvl>
  </w:abstractNum>
  <w:abstractNum w:abstractNumId="1613634683">
    <w:multiLevelType w:val="hybridMultilevel"/>
    <w:tmpl w:val="b1c092a8"/>
    <w:lvl w:ilvl="0">
      <w:lvlJc w:val="left"/>
      <w:lvlText w:val="%1."/>
      <w:numFmt w:val="decimal"/>
      <w:start w:val="1"/>
      <w:suff w:val="tab"/>
      <w:pPr>
        <w:ind w:hanging="360" w:left="3240" w:start="3240"/>
      </w:pPr>
      <w:rPr>
        <w:rFonts w:ascii="Times New Roman" w:eastAsia="Times New Roman" w:hAnsi="Times New Roman" w:cs="Times New Roman"/>
        <w:sz w:val="28"/>
      </w:rPr>
    </w:lvl>
    <w:lvl w:ilvl="1" w:tentative="1">
      <w:lvlJc w:val="left"/>
      <w:lvlText w:val="%2."/>
      <w:numFmt w:val="lowerLetter"/>
      <w:start w:val="1"/>
      <w:suff w:val="tab"/>
      <w:pPr>
        <w:ind w:hanging="360" w:left="3960" w:start="396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4680" w:start="468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5400" w:start="540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6120" w:start="612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6840" w:start="684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7560" w:start="756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8280" w:start="828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9000" w:start="9000"/>
      </w:pPr>
      <w:rPr>
        <w:rFonts w:ascii="Times New Roman" w:eastAsia="Times New Roman" w:hAnsi="Times New Roman" w:cs="Times New Roman"/>
        <w:sz w:val="24"/>
      </w:rPr>
    </w:lvl>
  </w:abstractNum>
  <w:abstractNum w:abstractNumId="1889149408">
    <w:multiLevelType w:val="hybridMultilevel"/>
    <w:tmpl w:val="a294ba9e"/>
    <w:lvl w:ilvl="0">
      <w:lvlJc w:val="left"/>
      <w:lvlText w:val="-"/>
      <w:numFmt w:val="bullet"/>
      <w:start w:val="0"/>
      <w:suff w:val="tab"/>
      <w:pPr>
        <w:ind w:hanging="360" w:left="1215" w:start="1215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935" w:start="1935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655" w:start="2655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3375" w:start="3375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4095" w:start="4095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815" w:start="4815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535" w:start="5535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6255" w:start="6255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975" w:start="6975"/>
      </w:pPr>
      <w:rPr>
        <w:rFonts w:ascii="Wingdings" w:eastAsia="Wingdings" w:hAnsi="Wingdings" w:cs="Wingdings"/>
        <w:sz w:val="24"/>
      </w:rPr>
    </w:lvl>
  </w:abstractNum>
  <w:num w:numId="1">
    <w:abstractNumId w:val="1889149408"/>
  </w:num>
  <w:num w:numId="2">
    <w:abstractNumId w:val="1072703672"/>
  </w:num>
  <w:num w:numId="3">
    <w:abstractNumId w:val="201014161"/>
  </w:num>
  <w:num w:numId="4">
    <w:abstractNumId w:val="1487743061"/>
  </w:num>
  <w:num w:numId="5">
    <w:abstractNumId w:val="1163206516"/>
  </w:num>
  <w:num w:numId="6">
    <w:abstractNumId w:val="161363468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numbering" Target="numbering.xml"/><Relationship Id="rId8" Type="http://schemas.openxmlformats.org/officeDocument/2006/relationships/styles" Target="styles.xml"/><Relationship Id="rId9" Type="http://schemas.openxmlformats.org/officeDocument/2006/relationships/fontTable" Target="fontTable.xml"/><Relationship Id="rId1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10</Pages>
  <Words>4232</Words>
  <Characters>24126</Characters>
  <CharactersWithSpaces>28302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Рекомендуемое</dc:title>
  <dc:creator>f5r226h1</dc:creator>
</cp:coreProperties>
</file>