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ОРЛОВСКАЯ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ТРОСНЯНСКИЙ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РАЙОННЫЙ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СОВЕТ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НАРОДНЫХ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8 апреля 2010  №272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с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в постановление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районного Совета народных депутатов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08.08.2003 года № 72 «О предельных размерах и условиях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предоставления земельных участков в собственность граждан»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  в постановление Троснянского районного Совета народных депутатов от 08.08.2003 года № 72 «О предельных размерах и условиях предоставления   земельных   участков   в   собственность   граждан следующие изменения: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подпункт «в» пункта 1 статьи 1 постановления дополнить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после слов   « - 0,10 гектара» следующими словами « ниже 0,10 гектара на фактически сложившиеся земельные участки до введения в действие Земельного кодекса Российской Федерации»;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после   слов   «   -1,5   гектара»     следующими   словами   «(кроме  индивидуального    жилищного    строительства). Для индивидуального жилищного строительства - 0,50 гектара.»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района для подписания и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данного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районного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совета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Глава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Троснянского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народных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В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Г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Харлашкин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Arial" w:eastAsia="Arial" w:hAnsi="Arial" w:cs="Arial"/>
          <w:sz w:val="24"/>
        </w:rPr>
        <w:t xml:space="preserve">В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Быков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227</Words>
  <Characters>1297</Characters>
  <CharactersWithSpaces>1521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