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264771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Никольского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264771">
        <w:rPr>
          <w:sz w:val="28"/>
          <w:szCs w:val="28"/>
        </w:rPr>
        <w:t>Н</w:t>
      </w:r>
      <w:r w:rsidR="00264771">
        <w:rPr>
          <w:sz w:val="28"/>
          <w:szCs w:val="28"/>
        </w:rPr>
        <w:t>и</w:t>
      </w:r>
      <w:r w:rsidR="00264771">
        <w:rPr>
          <w:sz w:val="28"/>
          <w:szCs w:val="28"/>
        </w:rPr>
        <w:t>кольского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264771">
        <w:rPr>
          <w:sz w:val="28"/>
          <w:szCs w:val="28"/>
        </w:rPr>
        <w:t>Троснянск</w:t>
      </w:r>
      <w:r w:rsidR="00264771">
        <w:rPr>
          <w:sz w:val="28"/>
          <w:szCs w:val="28"/>
        </w:rPr>
        <w:t>о</w:t>
      </w:r>
      <w:r w:rsidR="00264771">
        <w:rPr>
          <w:sz w:val="28"/>
          <w:szCs w:val="28"/>
        </w:rPr>
        <w:t>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264771">
        <w:rPr>
          <w:sz w:val="28"/>
          <w:szCs w:val="28"/>
        </w:rPr>
        <w:t>Никольского сельского посел</w:t>
      </w:r>
      <w:r w:rsidR="00264771">
        <w:rPr>
          <w:sz w:val="28"/>
          <w:szCs w:val="28"/>
        </w:rPr>
        <w:t>е</w:t>
      </w:r>
      <w:r w:rsidR="00264771">
        <w:rPr>
          <w:sz w:val="28"/>
          <w:szCs w:val="28"/>
        </w:rPr>
        <w:t>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264771">
        <w:rPr>
          <w:sz w:val="28"/>
          <w:szCs w:val="28"/>
        </w:rPr>
        <w:t>Никольского сел</w:t>
      </w:r>
      <w:r w:rsidR="00264771">
        <w:rPr>
          <w:sz w:val="28"/>
          <w:szCs w:val="28"/>
        </w:rPr>
        <w:t>ь</w:t>
      </w:r>
      <w:r w:rsidR="00264771">
        <w:rPr>
          <w:sz w:val="28"/>
          <w:szCs w:val="28"/>
        </w:rPr>
        <w:t>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264771">
        <w:rPr>
          <w:sz w:val="28"/>
          <w:szCs w:val="28"/>
        </w:rPr>
        <w:t>Никольского сельского поселения</w:t>
      </w:r>
      <w:r w:rsidRPr="00EB451B">
        <w:rPr>
          <w:sz w:val="28"/>
          <w:szCs w:val="28"/>
        </w:rPr>
        <w:t xml:space="preserve"> как объекта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юго-восточной части  Тро</w:t>
      </w:r>
      <w:r w:rsidRPr="00264771">
        <w:rPr>
          <w:bCs/>
          <w:sz w:val="28"/>
          <w:szCs w:val="28"/>
        </w:rPr>
        <w:t>с</w:t>
      </w:r>
      <w:r w:rsidRPr="00264771">
        <w:rPr>
          <w:bCs/>
          <w:sz w:val="28"/>
          <w:szCs w:val="28"/>
        </w:rPr>
        <w:t>нянского муниципального района. Протяженность территории сельского посел</w:t>
      </w:r>
      <w:r w:rsidRPr="00264771">
        <w:rPr>
          <w:bCs/>
          <w:sz w:val="28"/>
          <w:szCs w:val="28"/>
        </w:rPr>
        <w:t>е</w:t>
      </w:r>
      <w:r w:rsidRPr="00264771">
        <w:rPr>
          <w:bCs/>
          <w:sz w:val="28"/>
          <w:szCs w:val="28"/>
        </w:rPr>
        <w:t>ния с севера на юг 14,1 км и с запада на восток 17,4 км.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bCs/>
          <w:sz w:val="28"/>
          <w:szCs w:val="28"/>
        </w:rPr>
        <w:tab/>
        <w:t>Границы Никольского сельского поселения утверждены Законом О</w:t>
      </w:r>
      <w:r w:rsidRPr="00264771">
        <w:rPr>
          <w:bCs/>
          <w:sz w:val="28"/>
          <w:szCs w:val="28"/>
        </w:rPr>
        <w:t>р</w:t>
      </w:r>
      <w:r w:rsidRPr="00264771">
        <w:rPr>
          <w:bCs/>
          <w:sz w:val="28"/>
          <w:szCs w:val="28"/>
        </w:rPr>
        <w:t xml:space="preserve">ловской области </w:t>
      </w:r>
      <w:r w:rsidRPr="00264771">
        <w:rPr>
          <w:sz w:val="28"/>
          <w:szCs w:val="28"/>
        </w:rPr>
        <w:t>№444-ОЗ от 19 ноября 2004 г. «Об установлении границ муниц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 xml:space="preserve">пальных образований Орловской области».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sz w:val="28"/>
          <w:szCs w:val="28"/>
        </w:rPr>
        <w:t>Территория сельского поселения граничит</w:t>
      </w:r>
      <w:r w:rsidRPr="00264771">
        <w:rPr>
          <w:bCs/>
          <w:sz w:val="28"/>
          <w:szCs w:val="28"/>
        </w:rPr>
        <w:t>: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 xml:space="preserve">на севере – с землями Муравльского и Воронецкого сельских поселений; 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на востоке – с землями Глазуновского района;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на юге – с землями Курской области;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264771">
        <w:rPr>
          <w:bCs/>
          <w:sz w:val="28"/>
          <w:szCs w:val="28"/>
        </w:rPr>
        <w:t>на западе — с землями Малахово-Слободского и Муравльского сельских п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 xml:space="preserve">селений.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Общая протяженность границ Никольского сельского поселения составляет 67 км.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На территории Никольского сельского поселения расположено 7 населенных пунктов: с.Никольское 538 чел, село Гнилец 360 чел., деревня Березовка 285 чел, деревня Красавка 206 чел, деревня Соборовка 67,  поселок Бобрик 5 чел, поселок Краснопавловский 44 чел. Село Никольское является административным центром Никольского сельского поселения.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            Внешние связи осуществляются автомобильным транспортом.    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            Расстояние до районного центра  села Тросна 25 км, до областного центра г. Орел –100 км.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      Ближайшая железнодорожная станция пассажирского сообщения расп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 xml:space="preserve">ложена в г.Орел 100 км.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Связь осуществляется по федеральной автодороге М 2 «Крым» и по автод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рогам регионального значения 4 и 5 технической категории.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Большая часть территории Никольского сельского поселения используется в сельскохозяйственных целях.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Общая площадь сельского поселения 10263 га. На территории сельского п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 xml:space="preserve">селения по состоянию на 01.01.2012 года проживают 1505 человек.  </w:t>
      </w:r>
      <w:r w:rsidRPr="00264771">
        <w:rPr>
          <w:sz w:val="28"/>
          <w:szCs w:val="28"/>
        </w:rPr>
        <w:t xml:space="preserve">Плотность </w:t>
      </w:r>
      <w:r w:rsidRPr="00264771">
        <w:rPr>
          <w:bCs/>
          <w:sz w:val="28"/>
          <w:szCs w:val="28"/>
        </w:rPr>
        <w:t>с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ставляет 14,7 чел./кв.км. На территории сельского поселения расположены  Н</w:t>
      </w:r>
      <w:r w:rsidRPr="00264771">
        <w:rPr>
          <w:bCs/>
          <w:sz w:val="28"/>
          <w:szCs w:val="28"/>
        </w:rPr>
        <w:t>и</w:t>
      </w:r>
      <w:r w:rsidRPr="00264771">
        <w:rPr>
          <w:bCs/>
          <w:sz w:val="28"/>
          <w:szCs w:val="28"/>
        </w:rPr>
        <w:t xml:space="preserve">кольская средняя общеобразовательная школа, ФАП, СДК, торговые магазины.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Территория Никольского сельского поселения славится своей природой. На территории поселения протекают: река Свапа, река Турейка, р.Бобрик. много пр</w:t>
      </w:r>
      <w:r w:rsidRPr="00264771">
        <w:rPr>
          <w:bCs/>
          <w:sz w:val="28"/>
          <w:szCs w:val="28"/>
        </w:rPr>
        <w:t>у</w:t>
      </w:r>
      <w:r w:rsidRPr="00264771">
        <w:rPr>
          <w:bCs/>
          <w:sz w:val="28"/>
          <w:szCs w:val="28"/>
        </w:rPr>
        <w:t xml:space="preserve">дов.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sz w:val="28"/>
          <w:szCs w:val="28"/>
        </w:rPr>
        <w:t>Наличие автодорог регионального значения,  наличие  своеобразного пр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>родного ландшафта делает данную территорию привлекательной для индивид</w:t>
      </w:r>
      <w:r w:rsidRPr="00264771">
        <w:rPr>
          <w:sz w:val="28"/>
          <w:szCs w:val="28"/>
        </w:rPr>
        <w:t>у</w:t>
      </w:r>
      <w:r w:rsidRPr="00264771">
        <w:rPr>
          <w:sz w:val="28"/>
          <w:szCs w:val="28"/>
        </w:rPr>
        <w:t>ального жилищного строительства и позволяет прогнозировать развитие террит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рии.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центральной части Орло</w:t>
      </w:r>
      <w:r w:rsidRPr="00264771">
        <w:rPr>
          <w:bCs/>
          <w:sz w:val="28"/>
          <w:szCs w:val="28"/>
        </w:rPr>
        <w:t>в</w:t>
      </w:r>
      <w:r w:rsidRPr="00264771">
        <w:rPr>
          <w:bCs/>
          <w:sz w:val="28"/>
          <w:szCs w:val="28"/>
        </w:rPr>
        <w:t xml:space="preserve">ской области, в юго-восточной части Троснянского района, на Средне - Русской возвышенности, </w:t>
      </w:r>
      <w:r w:rsidRPr="00264771">
        <w:rPr>
          <w:bCs/>
          <w:iCs/>
          <w:sz w:val="28"/>
          <w:szCs w:val="28"/>
        </w:rPr>
        <w:t xml:space="preserve">в пределах степной и лесостепной зон. 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Климат умеренно-континентальный. Средняя температура января – минус 9,9ºС. Ноябрь, декабрь и январь являются пасмурными месяцами. Первые заморо</w:t>
      </w:r>
      <w:r w:rsidRPr="00264771">
        <w:rPr>
          <w:bCs/>
          <w:iCs/>
          <w:sz w:val="28"/>
          <w:szCs w:val="28"/>
        </w:rPr>
        <w:t>з</w:t>
      </w:r>
      <w:r w:rsidRPr="00264771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264771">
        <w:rPr>
          <w:bCs/>
          <w:iCs/>
          <w:sz w:val="28"/>
          <w:szCs w:val="28"/>
        </w:rPr>
        <w:t>о</w:t>
      </w:r>
      <w:r w:rsidRPr="00264771">
        <w:rPr>
          <w:bCs/>
          <w:iCs/>
          <w:sz w:val="28"/>
          <w:szCs w:val="28"/>
        </w:rPr>
        <w:t>ября и прекращаются в первой половине марта.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264771">
        <w:rPr>
          <w:bCs/>
          <w:iCs/>
          <w:sz w:val="28"/>
          <w:szCs w:val="28"/>
        </w:rPr>
        <w:t>а</w:t>
      </w:r>
      <w:r w:rsidRPr="00264771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 +18, +19ºС. Среднегодовая температ</w:t>
      </w:r>
      <w:r w:rsidRPr="00264771">
        <w:rPr>
          <w:bCs/>
          <w:iCs/>
          <w:sz w:val="28"/>
          <w:szCs w:val="28"/>
        </w:rPr>
        <w:t>у</w:t>
      </w:r>
      <w:r w:rsidRPr="00264771">
        <w:rPr>
          <w:bCs/>
          <w:iCs/>
          <w:sz w:val="28"/>
          <w:szCs w:val="28"/>
        </w:rPr>
        <w:t>ра воздуха по данным многолетних наблюдений +4,9ºС.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264771">
        <w:rPr>
          <w:bCs/>
          <w:iCs/>
          <w:sz w:val="28"/>
          <w:szCs w:val="28"/>
        </w:rPr>
        <w:t>я</w:t>
      </w:r>
      <w:r w:rsidRPr="00264771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264771">
        <w:rPr>
          <w:bCs/>
          <w:iCs/>
          <w:sz w:val="28"/>
          <w:szCs w:val="28"/>
        </w:rPr>
        <w:t>и</w:t>
      </w:r>
      <w:r w:rsidRPr="00264771">
        <w:rPr>
          <w:bCs/>
          <w:iCs/>
          <w:sz w:val="28"/>
          <w:szCs w:val="28"/>
        </w:rPr>
        <w:t>тории поселения преобладает ветер западного, юго-западного и южного направл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t>ний.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крытых и возвышенных участках.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ab/>
        <w:t>За год выпадает умеренное количество осадков- в среднем от 500 - до 550 мм в год, причем 75% их количества приходится на летний период.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 xml:space="preserve">венных культур.   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Территория Никольского сельского поселения расположена в центре Сре</w:t>
      </w:r>
      <w:r w:rsidRPr="00264771">
        <w:rPr>
          <w:bCs/>
          <w:iCs/>
          <w:sz w:val="28"/>
          <w:szCs w:val="28"/>
        </w:rPr>
        <w:t>д</w:t>
      </w:r>
      <w:r w:rsidRPr="00264771">
        <w:rPr>
          <w:bCs/>
          <w:iCs/>
          <w:sz w:val="28"/>
          <w:szCs w:val="28"/>
        </w:rPr>
        <w:t>нерусской возвышенности. По рельефу территория Никольского сельского посел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t>ния представляет собой приподнятую, сильно волнистую равнину, изрезанную с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t xml:space="preserve">тью балок </w:t>
      </w:r>
      <w:r w:rsidRPr="00264771">
        <w:rPr>
          <w:sz w:val="28"/>
          <w:szCs w:val="28"/>
        </w:rPr>
        <w:t xml:space="preserve">в меридиональном направлениях </w:t>
      </w:r>
      <w:r w:rsidRPr="00264771">
        <w:rPr>
          <w:bCs/>
          <w:iCs/>
          <w:sz w:val="28"/>
          <w:szCs w:val="28"/>
        </w:rPr>
        <w:t>и долинами рек и ручьев. По склонам оврагов и балок произрастают приовражные лесополосы.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По южной границе территории сельского поселения пересекает река Свапа, по западной границе протекает река Турейка.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 </w:t>
      </w:r>
      <w:r w:rsidRPr="00264771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264771">
        <w:rPr>
          <w:bCs/>
          <w:sz w:val="28"/>
          <w:szCs w:val="28"/>
        </w:rPr>
        <w:t>н</w:t>
      </w:r>
      <w:r w:rsidRPr="00264771">
        <w:rPr>
          <w:bCs/>
          <w:sz w:val="28"/>
          <w:szCs w:val="28"/>
        </w:rPr>
        <w:t>ными машинами.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Почвенный покров разнообразен, что определяется различными условиями почвообразования, так как территория находится в переходной зоне от степи к л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состепи.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Наибольшее распространение имеет выщелоченный чернозем (63%). Типи</w:t>
      </w:r>
      <w:r w:rsidRPr="00264771">
        <w:rPr>
          <w:sz w:val="28"/>
          <w:szCs w:val="28"/>
        </w:rPr>
        <w:t>ч</w:t>
      </w:r>
      <w:r w:rsidRPr="00264771">
        <w:rPr>
          <w:sz w:val="28"/>
          <w:szCs w:val="28"/>
        </w:rPr>
        <w:t>ный чернозем занимает 11%. Значительная пл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щадь занята серыми, светло-серыми, темно-серыми почвами (6%). На долю оподзоленного чернозема, зан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>мающего в генетическом отношении промежуточное место между лесными и в</w:t>
      </w:r>
      <w:r w:rsidRPr="00264771">
        <w:rPr>
          <w:sz w:val="28"/>
          <w:szCs w:val="28"/>
        </w:rPr>
        <w:t>ы</w:t>
      </w:r>
      <w:r w:rsidRPr="00264771">
        <w:rPr>
          <w:sz w:val="28"/>
          <w:szCs w:val="28"/>
        </w:rPr>
        <w:t>щелоченным черноземом приходится 12%.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лосуглинистый и редко глинистый.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Остальные почвенные разности имеют небольшое распространение.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Территория Никольского сельского поселения относится к Центральному эрозионному району.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Главными водными артериями на территории поселения является р.Свапа, протекающая по южной границе поселения (протяженность реки по поселению 26,5 км), река Турейка (правый приток реки Свапа), протекающая по западной гр</w:t>
      </w:r>
      <w:r w:rsidRPr="00264771">
        <w:rPr>
          <w:sz w:val="28"/>
          <w:szCs w:val="28"/>
        </w:rPr>
        <w:t>а</w:t>
      </w:r>
      <w:r w:rsidRPr="00264771">
        <w:rPr>
          <w:sz w:val="28"/>
          <w:szCs w:val="28"/>
        </w:rPr>
        <w:t>нице поселения, протяженность реки по поселению 4,1 км.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Характеристика рек в поселении</w:t>
      </w:r>
    </w:p>
    <w:tbl>
      <w:tblPr>
        <w:tblpPr w:leftFromText="180" w:rightFromText="180" w:vertAnchor="page" w:horzAnchor="margin" w:tblpXSpec="center" w:tblpY="6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2420"/>
        <w:gridCol w:w="3402"/>
        <w:gridCol w:w="2355"/>
      </w:tblGrid>
      <w:tr w:rsidR="00264771" w:rsidRPr="00264771" w:rsidTr="0026477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6477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420" w:type="dxa"/>
            <w:shd w:val="clear" w:color="auto" w:fill="D9D9D9"/>
          </w:tcPr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64771">
              <w:rPr>
                <w:bCs/>
                <w:sz w:val="28"/>
                <w:szCs w:val="28"/>
              </w:rPr>
              <w:t>Наименов</w:t>
            </w:r>
            <w:r w:rsidRPr="00264771">
              <w:rPr>
                <w:bCs/>
                <w:sz w:val="28"/>
                <w:szCs w:val="28"/>
              </w:rPr>
              <w:t>а</w:t>
            </w:r>
            <w:r w:rsidRPr="00264771">
              <w:rPr>
                <w:bCs/>
                <w:sz w:val="28"/>
                <w:szCs w:val="28"/>
              </w:rPr>
              <w:t>ние рек</w:t>
            </w:r>
          </w:p>
        </w:tc>
        <w:tc>
          <w:tcPr>
            <w:tcW w:w="3402" w:type="dxa"/>
            <w:shd w:val="clear" w:color="auto" w:fill="D9D9D9"/>
          </w:tcPr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64771">
              <w:rPr>
                <w:bCs/>
                <w:sz w:val="28"/>
                <w:szCs w:val="28"/>
              </w:rPr>
              <w:t>Протяженность р</w:t>
            </w:r>
            <w:r w:rsidRPr="00264771">
              <w:rPr>
                <w:bCs/>
                <w:sz w:val="28"/>
                <w:szCs w:val="28"/>
              </w:rPr>
              <w:t>е</w:t>
            </w:r>
            <w:r w:rsidRPr="00264771">
              <w:rPr>
                <w:bCs/>
                <w:sz w:val="28"/>
                <w:szCs w:val="28"/>
              </w:rPr>
              <w:t>ки в поселении, км</w:t>
            </w:r>
          </w:p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D9D9D9"/>
          </w:tcPr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64771">
              <w:rPr>
                <w:bCs/>
                <w:sz w:val="28"/>
                <w:szCs w:val="28"/>
              </w:rPr>
              <w:t>Водоо</w:t>
            </w:r>
            <w:r w:rsidRPr="00264771">
              <w:rPr>
                <w:bCs/>
                <w:sz w:val="28"/>
                <w:szCs w:val="28"/>
              </w:rPr>
              <w:t>х</w:t>
            </w:r>
            <w:r w:rsidRPr="00264771">
              <w:rPr>
                <w:bCs/>
                <w:sz w:val="28"/>
                <w:szCs w:val="28"/>
              </w:rPr>
              <w:t>ранная зона</w:t>
            </w:r>
          </w:p>
          <w:p w:rsidR="00264771" w:rsidRPr="00264771" w:rsidRDefault="00264771" w:rsidP="0026477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64771">
              <w:rPr>
                <w:bCs/>
                <w:sz w:val="28"/>
                <w:szCs w:val="28"/>
              </w:rPr>
              <w:t>реки, км</w:t>
            </w:r>
          </w:p>
        </w:tc>
      </w:tr>
      <w:tr w:rsidR="00264771" w:rsidRPr="00264771" w:rsidTr="0026477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1.</w:t>
            </w:r>
          </w:p>
        </w:tc>
        <w:tc>
          <w:tcPr>
            <w:tcW w:w="2420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река Свапа</w:t>
            </w:r>
          </w:p>
        </w:tc>
        <w:tc>
          <w:tcPr>
            <w:tcW w:w="3402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26,5</w:t>
            </w:r>
          </w:p>
        </w:tc>
        <w:tc>
          <w:tcPr>
            <w:tcW w:w="2355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200</w:t>
            </w:r>
          </w:p>
        </w:tc>
      </w:tr>
      <w:tr w:rsidR="00264771" w:rsidRPr="00264771" w:rsidTr="0026477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река Туре</w:t>
            </w:r>
            <w:r w:rsidRPr="00264771">
              <w:rPr>
                <w:sz w:val="28"/>
                <w:szCs w:val="28"/>
              </w:rPr>
              <w:t>й</w:t>
            </w:r>
            <w:r w:rsidRPr="00264771">
              <w:rPr>
                <w:sz w:val="28"/>
                <w:szCs w:val="28"/>
              </w:rPr>
              <w:t>ка</w:t>
            </w:r>
          </w:p>
        </w:tc>
        <w:tc>
          <w:tcPr>
            <w:tcW w:w="3402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4,1</w:t>
            </w:r>
          </w:p>
        </w:tc>
        <w:tc>
          <w:tcPr>
            <w:tcW w:w="2355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100</w:t>
            </w:r>
          </w:p>
        </w:tc>
      </w:tr>
      <w:tr w:rsidR="00264771" w:rsidRPr="00264771" w:rsidTr="0026477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река Бо</w:t>
            </w:r>
            <w:r w:rsidRPr="00264771">
              <w:rPr>
                <w:sz w:val="28"/>
                <w:szCs w:val="28"/>
              </w:rPr>
              <w:t>б</w:t>
            </w:r>
            <w:r w:rsidRPr="00264771">
              <w:rPr>
                <w:sz w:val="28"/>
                <w:szCs w:val="28"/>
              </w:rPr>
              <w:t>рик</w:t>
            </w:r>
          </w:p>
        </w:tc>
        <w:tc>
          <w:tcPr>
            <w:tcW w:w="3402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10,0</w:t>
            </w:r>
          </w:p>
        </w:tc>
        <w:tc>
          <w:tcPr>
            <w:tcW w:w="2355" w:type="dxa"/>
          </w:tcPr>
          <w:p w:rsidR="00264771" w:rsidRPr="00264771" w:rsidRDefault="00264771" w:rsidP="00264771">
            <w:pPr>
              <w:ind w:firstLine="709"/>
              <w:jc w:val="center"/>
              <w:rPr>
                <w:sz w:val="28"/>
                <w:szCs w:val="28"/>
              </w:rPr>
            </w:pPr>
            <w:r w:rsidRPr="00264771">
              <w:rPr>
                <w:sz w:val="28"/>
                <w:szCs w:val="28"/>
              </w:rPr>
              <w:t>100</w:t>
            </w:r>
          </w:p>
        </w:tc>
      </w:tr>
    </w:tbl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Озер естественного происхождения в Никольском поселении нет. Среди и</w:t>
      </w:r>
      <w:r w:rsidRPr="00264771">
        <w:rPr>
          <w:sz w:val="28"/>
          <w:szCs w:val="28"/>
        </w:rPr>
        <w:t>с</w:t>
      </w:r>
      <w:r w:rsidRPr="00264771">
        <w:rPr>
          <w:sz w:val="28"/>
          <w:szCs w:val="28"/>
        </w:rPr>
        <w:t>кусственных водоемов преобладают пруды, площадь которых обычно весьма ра</w:t>
      </w:r>
      <w:r w:rsidRPr="00264771">
        <w:rPr>
          <w:sz w:val="28"/>
          <w:szCs w:val="28"/>
        </w:rPr>
        <w:t>з</w:t>
      </w:r>
      <w:r w:rsidRPr="00264771">
        <w:rPr>
          <w:sz w:val="28"/>
          <w:szCs w:val="28"/>
        </w:rPr>
        <w:t>лична от 1-2  до 5 га. Плотины и дамбы, удер</w:t>
      </w:r>
      <w:r w:rsidRPr="00264771">
        <w:rPr>
          <w:sz w:val="28"/>
          <w:szCs w:val="28"/>
        </w:rPr>
        <w:softHyphen/>
        <w:t>живающие воду в прудах, грунтовые. Ширина их 6-8 м, высота 3-4 м. Протяженность пло</w:t>
      </w:r>
      <w:r w:rsidRPr="00264771">
        <w:rPr>
          <w:sz w:val="28"/>
          <w:szCs w:val="28"/>
        </w:rPr>
        <w:softHyphen/>
        <w:t xml:space="preserve">тин обычно около 50 м.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широколиственной и восточноевропейской л</w:t>
      </w:r>
      <w:r w:rsidRPr="00264771">
        <w:rPr>
          <w:bCs/>
          <w:sz w:val="28"/>
          <w:szCs w:val="28"/>
        </w:rPr>
        <w:t>е</w:t>
      </w:r>
      <w:r w:rsidRPr="00264771">
        <w:rPr>
          <w:bCs/>
          <w:sz w:val="28"/>
          <w:szCs w:val="28"/>
        </w:rPr>
        <w:t xml:space="preserve">состепной (подзона северных луговых степей).  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ab/>
        <w:t>Леса представлены, в основном, небольшими обособленными лесными участками, расположенными на территории неравномерно. Наиболее распростр</w:t>
      </w:r>
      <w:r w:rsidRPr="00264771">
        <w:rPr>
          <w:bCs/>
          <w:sz w:val="28"/>
          <w:szCs w:val="28"/>
        </w:rPr>
        <w:t>а</w:t>
      </w:r>
      <w:r w:rsidRPr="00264771">
        <w:rPr>
          <w:bCs/>
          <w:sz w:val="28"/>
          <w:szCs w:val="28"/>
        </w:rPr>
        <w:t xml:space="preserve">нены лесные массивы в северо-западной части поселения.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ab/>
        <w:t>На территории Никольского поселения распространены широколис</w:t>
      </w:r>
      <w:r w:rsidRPr="00264771">
        <w:rPr>
          <w:bCs/>
          <w:sz w:val="28"/>
          <w:szCs w:val="28"/>
        </w:rPr>
        <w:t>т</w:t>
      </w:r>
      <w:r w:rsidRPr="00264771">
        <w:rPr>
          <w:bCs/>
          <w:sz w:val="28"/>
          <w:szCs w:val="28"/>
        </w:rPr>
        <w:t>венные леса, с преобладанием клена остролистного, ясеня обыкновенного, вяза, липы мелколистной.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ab/>
        <w:t>Органом исполнительной власти в области лесных отношений является Управление лесного хозяйства Орловской области.  В его ведении находятся леса, расположенные на землях лесного фонда – 581 га.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ab/>
        <w:t>Территориальной единицей управления в вопросе использования охр</w:t>
      </w:r>
      <w:r w:rsidRPr="00264771">
        <w:rPr>
          <w:bCs/>
          <w:sz w:val="28"/>
          <w:szCs w:val="28"/>
        </w:rPr>
        <w:t>а</w:t>
      </w:r>
      <w:r w:rsidRPr="00264771">
        <w:rPr>
          <w:bCs/>
          <w:sz w:val="28"/>
          <w:szCs w:val="28"/>
        </w:rPr>
        <w:t>ны, защиты, воспроизводства лесов является ОКУ «Дмитровское лесничество». Лесничество осуществляет реализацию лесохозяйственных регламентов в Мор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зовском участковом лесничестве.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По своему целевому назначению леса поселения отнесены к защитным, кат</w:t>
      </w:r>
      <w:r w:rsidRPr="00264771">
        <w:rPr>
          <w:bCs/>
          <w:sz w:val="28"/>
          <w:szCs w:val="28"/>
        </w:rPr>
        <w:t>е</w:t>
      </w:r>
      <w:r w:rsidRPr="00264771">
        <w:rPr>
          <w:bCs/>
          <w:sz w:val="28"/>
          <w:szCs w:val="28"/>
        </w:rPr>
        <w:t>гория защитности лесов – противоэрозионные, выполняющим разнообразные функции: почвозащитные и средообразующие.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bCs/>
          <w:sz w:val="28"/>
          <w:szCs w:val="28"/>
        </w:rPr>
        <w:tab/>
      </w:r>
      <w:r w:rsidRPr="00264771">
        <w:rPr>
          <w:sz w:val="28"/>
          <w:szCs w:val="28"/>
        </w:rPr>
        <w:t>Назначение защитных лесов - сохранение средообразующих, водоо</w:t>
      </w:r>
      <w:r w:rsidRPr="00264771">
        <w:rPr>
          <w:sz w:val="28"/>
          <w:szCs w:val="28"/>
        </w:rPr>
        <w:t>х</w:t>
      </w:r>
      <w:r w:rsidRPr="00264771">
        <w:rPr>
          <w:sz w:val="28"/>
          <w:szCs w:val="28"/>
        </w:rPr>
        <w:t>ранных, защитных, санитарно-гигиенических, оздоровительных и иных полезных функций лесов с одновременным использованием лесов при условии, если это и</w:t>
      </w:r>
      <w:r w:rsidRPr="00264771">
        <w:rPr>
          <w:sz w:val="28"/>
          <w:szCs w:val="28"/>
        </w:rPr>
        <w:t>с</w:t>
      </w:r>
      <w:r w:rsidRPr="00264771">
        <w:rPr>
          <w:sz w:val="28"/>
          <w:szCs w:val="28"/>
        </w:rPr>
        <w:t>пользование совместимо с целевым назначением защитных лесов и выполняемыми ими полезными функциями.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264771">
        <w:rPr>
          <w:sz w:val="28"/>
          <w:szCs w:val="28"/>
        </w:rPr>
        <w:t>ю</w:t>
      </w:r>
      <w:r w:rsidRPr="00264771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автодороги регионального значения 4-5-й категории. На планировочную структуру территории поселения большое влияние оказывают: рельеф местности, реки и запруды, распределительные газ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 xml:space="preserve">проводы и другие межпоселковые сети.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 На территории Никольского сельского поселения расположены 6 населе</w:t>
      </w:r>
      <w:r w:rsidRPr="00264771">
        <w:rPr>
          <w:sz w:val="28"/>
          <w:szCs w:val="28"/>
        </w:rPr>
        <w:t>н</w:t>
      </w:r>
      <w:r w:rsidRPr="00264771">
        <w:rPr>
          <w:sz w:val="28"/>
          <w:szCs w:val="28"/>
        </w:rPr>
        <w:t>ных пунктов. Село Никольское является центром Никольского сельского посел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ния. Большая часть территории поселения используется в сельскохозяйственных целях (выращивание зерновых культур), но не имеет четко выраженной планир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вочной структуры из-за сложного рельефа. Часть территории, расположенная в о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рогах балок,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264771" w:rsidP="00FA1675">
      <w:pPr>
        <w:ind w:firstLine="4678"/>
        <w:jc w:val="right"/>
      </w:pPr>
      <w:r>
        <w:t>Никольского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264771" w:rsidP="00FA1675">
      <w:pPr>
        <w:ind w:firstLine="4820"/>
        <w:jc w:val="right"/>
      </w:pPr>
      <w:r>
        <w:t>Никольского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9C" w:rsidRDefault="00C0589C" w:rsidP="0002230A">
      <w:pPr>
        <w:pStyle w:val="Style1"/>
      </w:pPr>
      <w:r>
        <w:separator/>
      </w:r>
    </w:p>
  </w:endnote>
  <w:endnote w:type="continuationSeparator" w:id="0">
    <w:p w:rsidR="00C0589C" w:rsidRDefault="00C0589C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DBC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9C" w:rsidRDefault="00C0589C" w:rsidP="0002230A">
      <w:pPr>
        <w:pStyle w:val="Style1"/>
      </w:pPr>
      <w:r>
        <w:separator/>
      </w:r>
    </w:p>
  </w:footnote>
  <w:footnote w:type="continuationSeparator" w:id="0">
    <w:p w:rsidR="00C0589C" w:rsidRDefault="00C0589C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0DBC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4771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589C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6734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0F59-D7C2-4BC5-8072-A84D807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15182</Words>
  <Characters>86540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101519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2017-12-13T09:32:00Z</dcterms:created>
  <dcterms:modified xsi:type="dcterms:W3CDTF">2017-12-13T09:32:00Z</dcterms:modified>
</cp:coreProperties>
</file>