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12" w:rsidRPr="00C052C3" w:rsidRDefault="006E7B12" w:rsidP="006E7B12">
      <w:pPr>
        <w:spacing w:after="60" w:line="240" w:lineRule="atLeast"/>
        <w:jc w:val="both"/>
        <w:rPr>
          <w:rFonts w:ascii="Tahoma" w:eastAsia="Times New Roman" w:hAnsi="Tahoma" w:cs="Tahoma"/>
          <w:b/>
          <w:bCs/>
          <w:color w:val="4565A1"/>
          <w:sz w:val="24"/>
          <w:szCs w:val="20"/>
          <w:lang w:eastAsia="ru-RU"/>
        </w:rPr>
      </w:pPr>
      <w:r w:rsidRPr="00C052C3">
        <w:rPr>
          <w:rFonts w:ascii="Tahoma" w:eastAsia="Times New Roman" w:hAnsi="Tahoma" w:cs="Tahoma"/>
          <w:b/>
          <w:bCs/>
          <w:color w:val="4565A1"/>
          <w:sz w:val="24"/>
          <w:szCs w:val="20"/>
          <w:lang w:eastAsia="ru-RU"/>
        </w:rPr>
        <w:t>В Орловской области будут реализованы 5 региональных проектов, направленных на достижение целей национальной программы «Цифровая экономика Российской Федерации»</w:t>
      </w:r>
    </w:p>
    <w:p w:rsidR="006E7B12" w:rsidRPr="00C052C3" w:rsidRDefault="006E7B12" w:rsidP="006E7B12">
      <w:pPr>
        <w:spacing w:after="75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noProof/>
          <w:color w:val="3167A9"/>
          <w:szCs w:val="18"/>
          <w:lang w:eastAsia="ru-RU"/>
        </w:rPr>
        <w:drawing>
          <wp:inline distT="0" distB="0" distL="0" distR="0">
            <wp:extent cx="1895475" cy="1266825"/>
            <wp:effectExtent l="0" t="0" r="9525" b="9525"/>
            <wp:docPr id="1" name="Рисунок 1" descr="https://orel-region.ru/files/upload/76043p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76043p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12" w:rsidRPr="00C052C3" w:rsidRDefault="006E7B12" w:rsidP="006E7B12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Речь идет о региональных проектах Орловской области: «Цифровое государственное управление», «Кадры для цифровой экономики», «Цифровые технологии», «Информационная безопасность» и «Информационная инфраструктура».</w:t>
      </w:r>
    </w:p>
    <w:p w:rsidR="006E7B12" w:rsidRPr="00C052C3" w:rsidRDefault="006E7B12" w:rsidP="006E7B12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В рамках реализации регионального проекта «Цифровое государственное управление» запланировано достижение ряда показателей.</w:t>
      </w:r>
    </w:p>
    <w:p w:rsidR="006E7B12" w:rsidRPr="00C052C3" w:rsidRDefault="006E7B12" w:rsidP="006E7B12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по итогам 2020 года должна составить 10%, по итогам 2021 года – 30%.</w:t>
      </w:r>
    </w:p>
    <w:p w:rsidR="006E7B12" w:rsidRPr="00C052C3" w:rsidRDefault="006E7B12" w:rsidP="006E7B12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 xml:space="preserve"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</w:t>
      </w:r>
      <w:proofErr w:type="spellStart"/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виде</w:t>
      </w:r>
      <w:proofErr w:type="gramStart"/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,п</w:t>
      </w:r>
      <w:proofErr w:type="gramEnd"/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о</w:t>
      </w:r>
      <w:proofErr w:type="spellEnd"/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 xml:space="preserve"> итогам 2020 года  запланирована в размере 30%, по итогам 2021 года – 40%.</w:t>
      </w:r>
    </w:p>
    <w:p w:rsidR="006E7B12" w:rsidRPr="00C052C3" w:rsidRDefault="006E7B12" w:rsidP="006E7B12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 xml:space="preserve">Планируемая 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</w:t>
      </w:r>
      <w:proofErr w:type="spellStart"/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онлайн</w:t>
      </w:r>
      <w:proofErr w:type="spellEnd"/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), по итогам 2020 года составляет 15%, по итогам 2021 года – 40%.</w:t>
      </w:r>
    </w:p>
    <w:p w:rsidR="006E7B12" w:rsidRPr="00C052C3" w:rsidRDefault="006E7B12" w:rsidP="006E7B12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Также планируется, что доля отказов при предоставлении приоритетных государственных услуг и сервисов от числа отказов в 2018 году по итогам 2020 года должна составить 90%, по итогам 2021 года – 80%.</w:t>
      </w:r>
    </w:p>
    <w:p w:rsidR="006E7B12" w:rsidRPr="00C052C3" w:rsidRDefault="006E7B12" w:rsidP="006E7B12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Региональным проектом «Кадры для цифровой экономики» планируется достижение следующих показателей: количество выпускников системы профессионального образования с ключевыми компетенциями цифровой экономики: по итогам 2020 года должно составить 1,856 тыс. человек, по итогам 2021 года – 2,475 тыс. человек; количество специалистов, прошедших переобучение по компетенциям цифровой экономики в рамках дополнительного образования, по итогам 2020 года – 2,4 тыс. человек, по итогам 2021 года – 2,9 тыс. человек.</w:t>
      </w:r>
    </w:p>
    <w:p w:rsidR="006E7B12" w:rsidRPr="00C052C3" w:rsidRDefault="006E7B12" w:rsidP="006E7B12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В рамках реализации регионального проекта «Цифровые технологии» планируется, что увеличение затрат на развитие «сквозных» цифровых технологий компаниями, зарегистрированными на территории Орловской области», по итогам 2020 года составит 125%, по итогам 2021 года – 150%.</w:t>
      </w:r>
    </w:p>
    <w:p w:rsidR="006E7B12" w:rsidRPr="00C052C3" w:rsidRDefault="006E7B12" w:rsidP="006E7B12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 xml:space="preserve">В соответствии с региональным проектом «Информационная безопасность» до конца 2019 года планируется обеспечить достижение следующих результатов. Средний срок простоя государственных информационных систем в результате компьютерных атак должен быть не более 1 часа. 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 планируется в размере 65%. Также запланировано создание комплексной системы обеспечения информационной безопасности в органах исполнительной государственной власти </w:t>
      </w: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lastRenderedPageBreak/>
        <w:t>специальной компетенции области на основе использования отечественных разработок и технологий.</w:t>
      </w:r>
    </w:p>
    <w:p w:rsidR="006E7B12" w:rsidRPr="00C052C3" w:rsidRDefault="006E7B12" w:rsidP="006E7B12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Региональным проектом «Информационная инфраструктура» запланировано увеличить долю государственных и муниципальных учреждений и организаций, подключенных к сети Интернет.</w:t>
      </w:r>
    </w:p>
    <w:p w:rsidR="006E7B12" w:rsidRPr="00C052C3" w:rsidRDefault="006E7B12" w:rsidP="006E7B12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Так, доля областных и муниципальных образовательных организаций, реализующих образовательные программы общего образования и (или) среднего профессионального образования, подключенных к сети Интернет, по итогам 2019 года должна составить 20%, по итогам 2020 года – 40%, по итогам 2021 года – 100%.</w:t>
      </w:r>
    </w:p>
    <w:p w:rsidR="006E7B12" w:rsidRPr="00C052C3" w:rsidRDefault="006E7B12" w:rsidP="006E7B12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До конца 2019 года планируется подключить к сети Интернет все больницы и поликлиники области.</w:t>
      </w:r>
    </w:p>
    <w:p w:rsidR="006E7B12" w:rsidRPr="00C052C3" w:rsidRDefault="006E7B12" w:rsidP="006E7B12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Доля органов исполнительной государственной власти специальной компетенции области и органов местного самоуправления, подключенных к сети Интернет, по итогам 2019 года должна составить 20%, по итогам 2020 года – 40%, по итогам 2021 года – 100%.</w:t>
      </w:r>
    </w:p>
    <w:p w:rsidR="006E7B12" w:rsidRPr="00C052C3" w:rsidRDefault="006E7B12" w:rsidP="006E7B12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Планируем</w:t>
      </w:r>
      <w:bookmarkStart w:id="0" w:name="_GoBack"/>
      <w:bookmarkEnd w:id="0"/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ая доля фельдшерских и фельдшерско-акушерских пунктов, подключенных к сети Интернет, по итогам 2019 года составит 20%, по итогам 2020 года – 40%, по итогам 2021 года – 100%.</w:t>
      </w:r>
    </w:p>
    <w:p w:rsidR="006E7B12" w:rsidRPr="00C052C3" w:rsidRDefault="006E7B12" w:rsidP="006E7B12">
      <w:pPr>
        <w:spacing w:before="150" w:after="150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C052C3">
        <w:rPr>
          <w:rFonts w:ascii="Tahoma" w:eastAsia="Times New Roman" w:hAnsi="Tahoma" w:cs="Tahoma"/>
          <w:color w:val="000000"/>
          <w:szCs w:val="18"/>
          <w:lang w:eastAsia="ru-RU"/>
        </w:rPr>
        <w:t>Количество избирательных комиссий (Избирательная комиссия Орловской области, территориальные избирательные комиссии), получающих услуги связи в закрытой защищенной сети передачи данных, по итогам 2019 года составит 31 единица, это же количество запланировано с 2020 по 2024 годы.</w:t>
      </w:r>
    </w:p>
    <w:p w:rsidR="006E7B12" w:rsidRPr="00C052C3" w:rsidRDefault="006E7B12" w:rsidP="006E7B12">
      <w:pPr>
        <w:rPr>
          <w:sz w:val="28"/>
        </w:rPr>
      </w:pPr>
    </w:p>
    <w:p w:rsidR="007A2145" w:rsidRDefault="007A2145"/>
    <w:sectPr w:rsidR="007A2145" w:rsidSect="00F1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B12"/>
    <w:rsid w:val="006E7B12"/>
    <w:rsid w:val="007A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el-region.ru/files/upload/7604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1</cp:revision>
  <dcterms:created xsi:type="dcterms:W3CDTF">2020-03-18T16:21:00Z</dcterms:created>
  <dcterms:modified xsi:type="dcterms:W3CDTF">2020-03-18T16:21:00Z</dcterms:modified>
</cp:coreProperties>
</file>