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44" w:rsidRPr="00206144" w:rsidRDefault="00206144" w:rsidP="00206144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206144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206144" w:rsidRPr="00206144" w:rsidRDefault="00206144" w:rsidP="00206144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</w:p>
    <w:p w:rsidR="00206144" w:rsidRPr="00206144" w:rsidRDefault="00206144" w:rsidP="00206144">
      <w:pPr>
        <w:spacing w:after="15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0" cy="1905000"/>
            <wp:effectExtent l="19050" t="0" r="0" b="0"/>
            <wp:docPr id="3" name="Рисунок 3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1. Постарайтесь дословно запомнить разговор и зафиксировать его на бумаге.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По ходу разговора отметьте пол, возраст звонившего и особенности его речи: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голо</w:t>
      </w:r>
      <w:proofErr w:type="gramStart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с(</w:t>
      </w:r>
      <w:proofErr w:type="gramEnd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громкий,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тихий,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низкий,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высокий);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темп речи (быстрый, медленный);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произношение (отчётливое, искажённое, с заиканием, шепелявое, акцент, диалект);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манера речи (с издёвкой, развязная, нецензурные выражения).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 Характер звонка (городской, междугородный).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 Зафиксируйте время начала и конца разговора.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В ходе разговора постарайтесь получить ответы на следующие вопросы: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куда, кому, по какому телефону звонит этот человек;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какие конкретные требования он выдвигает;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 каких условиях они согласны отказаться от задуманного;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как и когда с ними можно связаться;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кому вы можете или должны сообщить об этом звонке.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 xml:space="preserve">11. При использовании звукозаписывающей аппаратуры сразу же извлеките кассету (мини-диск) с записью разговора и примите меры к его сохранению. 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Обязательно установите на её (его) место новый носитель для записи.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12. Не вешайте телефонную трубку по окончании разговора.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206144" w:rsidRPr="00206144" w:rsidRDefault="00206144" w:rsidP="00206144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Правила обращения с анонимными материалами,</w:t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содержащими угрозы террористического характера</w:t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Постарайтесь не оставлять на нём отпечатков своих пальцев.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 Не расширяйте круг лиц, знакомившихся с содержанием документа.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206144" w:rsidRPr="00206144" w:rsidRDefault="00206144" w:rsidP="00206144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Рекомендации при работе с почтой, подозрительной</w:t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на заражение биологической субстанцией</w:t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или химическим веществом</w:t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Что такое «подозрительное письмо (бандероль)»?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206144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вы не ожидали этих писем от кого-то, кого вы знаете;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имеют обратного адреса или имеют неправильный обратный адрес;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необычны по весу, размеру, кривые по бокам или необычны по форме;</w:t>
      </w:r>
      <w:proofErr w:type="gramEnd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помечены ограничениями типа «Лично» и «Конфиденциально»;</w:t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 конвертах прощупывается (или торчат) проводки, конверты имеют странный запах или цвет;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206144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Что делать, если вы получили подозрительное письмо по почте: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вскрывайте конверт;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положите его в пластиковый пакет;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положите туда же лежащие в непосредственной близости с письмом предметы.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206144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При получении почты, подозрительной в отношении сибирской язвы: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брать в руки подозрительное письмо или бандероль;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убедиться, что все, кто трогал письмо (бандероль), вымыли руки водой с мылом;</w:t>
      </w:r>
      <w:proofErr w:type="gramEnd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как можно быстрее вымыться под душем с мылом.</w:t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</w:t>
      </w:r>
    </w:p>
    <w:p w:rsidR="00206144" w:rsidRPr="00206144" w:rsidRDefault="00206144" w:rsidP="00206144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Действия при обнаружении взрывного устройства</w:t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в почтовом отправлении</w:t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Основные признаки: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смещение центра тяжести письма к одной из его сторон;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в конверте перемещающихся предметов либо порошка;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во вложении металлических либо пластмассовых предметов;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необычного запаха (миндаля, жжёной пластмассы и др.);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«тиканье» в бандеролях и посылках.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Всё это позволяет предполагать наличие в отправлении взрывной начинки.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</w:r>
      <w:proofErr w:type="gramStart"/>
      <w:r w:rsidRPr="00206144">
        <w:rPr>
          <w:rFonts w:ascii="Lato" w:eastAsia="Times New Roman" w:hAnsi="Lato" w:cs="Times New Roman"/>
          <w:b/>
          <w:bCs/>
          <w:i/>
          <w:iCs/>
          <w:color w:val="000000"/>
          <w:sz w:val="26"/>
          <w:lang w:eastAsia="ru-RU"/>
        </w:rPr>
        <w:t>К числу вспомогательных признаков следует отнести: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особо тщательную заделку письма, бандероли, посылки, в том числе скотчем;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нестандартная упаковка.</w:t>
      </w:r>
      <w:proofErr w:type="gramEnd"/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Порядок действий</w:t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Правила поведения при обнаружении ВУ</w:t>
      </w:r>
    </w:p>
    <w:p w:rsidR="00206144" w:rsidRPr="00206144" w:rsidRDefault="00206144" w:rsidP="00206144">
      <w:pPr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 xml:space="preserve">Не пользоваться </w:t>
      </w:r>
      <w:proofErr w:type="spellStart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электро</w:t>
      </w:r>
      <w:proofErr w:type="spellEnd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-, радиоаппаратурой, переговорными устройствами, рацией вблизи подозрительного предмета.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 xml:space="preserve">Не оказывать теплового, звукового, светового, механического воздействия на 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lastRenderedPageBreak/>
        <w:t>взрывоопасный предмет.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:rsidR="00206144" w:rsidRPr="00206144" w:rsidRDefault="00206144" w:rsidP="00206144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 </w:t>
      </w:r>
    </w:p>
    <w:p w:rsidR="00206144" w:rsidRPr="00206144" w:rsidRDefault="00206144" w:rsidP="00206144">
      <w:pPr>
        <w:spacing w:after="0" w:line="33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Рекомендуемые зоны эвакуации (и оцепления)</w:t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szCs w:val="26"/>
          <w:lang w:eastAsia="ru-RU"/>
        </w:rPr>
        <w:br/>
      </w:r>
      <w:r w:rsidRPr="00206144">
        <w:rPr>
          <w:rFonts w:ascii="Lato" w:eastAsia="Times New Roman" w:hAnsi="Lato" w:cs="Times New Roman"/>
          <w:b/>
          <w:bCs/>
          <w:color w:val="000000"/>
          <w:sz w:val="26"/>
          <w:lang w:eastAsia="ru-RU"/>
        </w:rPr>
        <w:t>при обнаружении взрывного устройства или предмета, подозрительного на взрывное устройство</w:t>
      </w:r>
    </w:p>
    <w:p w:rsidR="00206144" w:rsidRPr="00206144" w:rsidRDefault="00206144" w:rsidP="00206144">
      <w:pPr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№ </w:t>
      </w:r>
      <w:proofErr w:type="spellStart"/>
      <w:proofErr w:type="gramStart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/</w:t>
      </w:r>
      <w:proofErr w:type="spellStart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</w:t>
      </w:r>
      <w:proofErr w:type="spellEnd"/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Взрывное устройство или предмет, радиус зоны оцепления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1.ГранатаРГД-550м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2.ГранатаФ-1200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3.Тротиловая шашка – 200 г 45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4.Тротиловая шашка – 400 г 55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5.Пивная банка – 0,33 л 60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6.Мина – МОН-50 85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7.Чемодан (кейс) 230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8.Дорожный чемодан 250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9.Автомобиль «Жигули» 460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10.Автомобиль «Волга» 580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11.Микроавтобус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920 м</w:t>
      </w:r>
      <w:r w:rsidRPr="00206144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12. Грузовик-фургон 1240 м</w:t>
      </w:r>
    </w:p>
    <w:p w:rsidR="001A230C" w:rsidRDefault="001A230C"/>
    <w:sectPr w:rsidR="001A230C" w:rsidSect="001A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44"/>
    <w:rsid w:val="001A230C"/>
    <w:rsid w:val="0020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0C"/>
  </w:style>
  <w:style w:type="paragraph" w:styleId="1">
    <w:name w:val="heading 1"/>
    <w:basedOn w:val="a"/>
    <w:link w:val="10"/>
    <w:uiPriority w:val="9"/>
    <w:qFormat/>
    <w:rsid w:val="0020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6144"/>
    <w:rPr>
      <w:color w:val="0000FF"/>
      <w:u w:val="single"/>
    </w:rPr>
  </w:style>
  <w:style w:type="paragraph" w:customStyle="1" w:styleId="rtejustify">
    <w:name w:val="rtejustify"/>
    <w:basedOn w:val="a"/>
    <w:rsid w:val="0020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0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144"/>
    <w:rPr>
      <w:b/>
      <w:bCs/>
    </w:rPr>
  </w:style>
  <w:style w:type="character" w:styleId="a5">
    <w:name w:val="Emphasis"/>
    <w:basedOn w:val="a0"/>
    <w:uiPriority w:val="20"/>
    <w:qFormat/>
    <w:rsid w:val="00206144"/>
    <w:rPr>
      <w:i/>
      <w:iCs/>
    </w:rPr>
  </w:style>
  <w:style w:type="paragraph" w:styleId="a6">
    <w:name w:val="Normal (Web)"/>
    <w:basedOn w:val="a"/>
    <w:uiPriority w:val="99"/>
    <w:semiHidden/>
    <w:unhideWhenUsed/>
    <w:rsid w:val="0020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457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352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9472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829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1</cp:revision>
  <dcterms:created xsi:type="dcterms:W3CDTF">2019-08-13T13:32:00Z</dcterms:created>
  <dcterms:modified xsi:type="dcterms:W3CDTF">2019-08-13T13:38:00Z</dcterms:modified>
</cp:coreProperties>
</file>