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105FD0">
        <w:rPr>
          <w:rFonts w:ascii="Arial" w:eastAsia="Times New Roman" w:hAnsi="Arial" w:cs="Arial"/>
          <w:color w:val="auto"/>
          <w:lang w:bidi="ar-SA"/>
        </w:rPr>
        <w:t>ЛОМОВЕЦКОГО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644CF2" w:rsidRDefault="00EE0A43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6900F9">
        <w:rPr>
          <w:rFonts w:ascii="Arial" w:eastAsia="Times New Roman" w:hAnsi="Arial" w:cs="Arial"/>
          <w:color w:val="auto"/>
          <w:lang w:bidi="ar-SA"/>
        </w:rPr>
        <w:t xml:space="preserve">16 апреля </w:t>
      </w:r>
      <w:r w:rsidR="00F007EA">
        <w:rPr>
          <w:rFonts w:ascii="Arial" w:eastAsia="Times New Roman" w:hAnsi="Arial" w:cs="Arial"/>
          <w:color w:val="auto"/>
          <w:lang w:bidi="ar-SA"/>
        </w:rPr>
        <w:t>2021 года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proofErr w:type="gramStart"/>
      <w:r w:rsidRPr="00F007EA">
        <w:rPr>
          <w:rFonts w:ascii="Arial" w:eastAsia="Times New Roman" w:hAnsi="Arial" w:cs="Arial"/>
          <w:color w:val="auto"/>
          <w:lang w:bidi="ar-SA"/>
        </w:rPr>
        <w:t xml:space="preserve">№  </w:t>
      </w:r>
      <w:r w:rsidR="00644CF2">
        <w:rPr>
          <w:rFonts w:ascii="Arial" w:eastAsia="Times New Roman" w:hAnsi="Arial" w:cs="Arial"/>
          <w:color w:val="auto"/>
          <w:lang w:bidi="ar-SA"/>
        </w:rPr>
        <w:t>7</w:t>
      </w:r>
      <w:proofErr w:type="gramEnd"/>
    </w:p>
    <w:p w:rsidR="00EE0A43" w:rsidRPr="00F007EA" w:rsidRDefault="00942A11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. </w:t>
      </w:r>
      <w:r w:rsidR="008B1B80">
        <w:rPr>
          <w:rFonts w:ascii="Arial" w:eastAsia="Times New Roman" w:hAnsi="Arial" w:cs="Arial"/>
          <w:color w:val="auto"/>
          <w:lang w:bidi="ar-SA"/>
        </w:rPr>
        <w:t>Ломовец</w:t>
      </w:r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Об утверждении плана мероприятий по повышению </w:t>
      </w:r>
      <w:proofErr w:type="gramStart"/>
      <w:r w:rsidR="00EE0A43" w:rsidRPr="00F007EA">
        <w:rPr>
          <w:rFonts w:ascii="Arial" w:hAnsi="Arial" w:cs="Arial"/>
        </w:rPr>
        <w:t>роли  имущественных</w:t>
      </w:r>
      <w:proofErr w:type="gramEnd"/>
      <w:r w:rsidR="00EE0A43" w:rsidRPr="00F00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налогов в формировании местного </w:t>
      </w:r>
      <w:r w:rsidR="00EE0A43" w:rsidRPr="00F007EA">
        <w:rPr>
          <w:rFonts w:ascii="Arial" w:hAnsi="Arial" w:cs="Arial"/>
        </w:rPr>
        <w:t xml:space="preserve">бюджета </w:t>
      </w:r>
      <w:r w:rsidR="00105FD0">
        <w:rPr>
          <w:rFonts w:ascii="Arial" w:hAnsi="Arial" w:cs="Arial"/>
        </w:rPr>
        <w:t>Ломовецкого</w:t>
      </w:r>
      <w:r w:rsidR="00EE0A43" w:rsidRPr="00F007EA">
        <w:rPr>
          <w:rFonts w:ascii="Arial" w:hAnsi="Arial" w:cs="Arial"/>
        </w:rPr>
        <w:t xml:space="preserve"> сельского поселения на 2021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В </w:t>
      </w:r>
      <w:proofErr w:type="gramStart"/>
      <w:r w:rsidR="00EE0A43" w:rsidRPr="00F007EA">
        <w:rPr>
          <w:rFonts w:ascii="Arial" w:hAnsi="Arial" w:cs="Arial"/>
        </w:rPr>
        <w:t>целях  увеличения</w:t>
      </w:r>
      <w:proofErr w:type="gramEnd"/>
      <w:r w:rsidR="00EE0A43" w:rsidRPr="00F007EA">
        <w:rPr>
          <w:rFonts w:ascii="Arial" w:hAnsi="Arial" w:cs="Arial"/>
        </w:rPr>
        <w:t xml:space="preserve"> доходной базы консолидированного бюджета </w:t>
      </w:r>
      <w:r w:rsidR="00105FD0">
        <w:rPr>
          <w:rFonts w:ascii="Arial" w:hAnsi="Arial" w:cs="Arial"/>
        </w:rPr>
        <w:t>Ломовецкого</w:t>
      </w:r>
      <w:r w:rsidR="00EE0A43"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r w:rsidR="00105FD0">
        <w:rPr>
          <w:rFonts w:ascii="Arial" w:hAnsi="Arial" w:cs="Arial"/>
        </w:rPr>
        <w:t>Ломовецкого</w:t>
      </w:r>
      <w:r w:rsidR="00EE0A43" w:rsidRPr="00F007EA">
        <w:rPr>
          <w:rFonts w:ascii="Arial" w:hAnsi="Arial" w:cs="Arial"/>
        </w:rPr>
        <w:t xml:space="preserve"> сельского поселения на 2021 год администрация </w:t>
      </w:r>
      <w:r w:rsidR="00105FD0">
        <w:rPr>
          <w:rFonts w:ascii="Arial" w:hAnsi="Arial" w:cs="Arial"/>
        </w:rPr>
        <w:t>Ломовецкого</w:t>
      </w:r>
      <w:r w:rsidR="00EE0A43" w:rsidRPr="00F007EA">
        <w:rPr>
          <w:rFonts w:ascii="Arial" w:hAnsi="Arial" w:cs="Arial"/>
        </w:rPr>
        <w:t xml:space="preserve"> сельского поселения ПОСТАНОВЛЯЕТ: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</w:t>
      </w:r>
      <w:proofErr w:type="gramStart"/>
      <w:r w:rsidRPr="00F007EA">
        <w:rPr>
          <w:rFonts w:ascii="Arial" w:hAnsi="Arial" w:cs="Arial"/>
        </w:rPr>
        <w:t>роли  имущественных</w:t>
      </w:r>
      <w:proofErr w:type="gramEnd"/>
      <w:r w:rsidRPr="00F007EA">
        <w:rPr>
          <w:rFonts w:ascii="Arial" w:hAnsi="Arial" w:cs="Arial"/>
        </w:rPr>
        <w:t xml:space="preserve"> налогов местного бюджета </w:t>
      </w:r>
      <w:r w:rsidR="00105FD0">
        <w:rPr>
          <w:rFonts w:ascii="Arial" w:hAnsi="Arial" w:cs="Arial"/>
        </w:rPr>
        <w:t>Ломовецкого</w:t>
      </w:r>
      <w:r w:rsidRPr="00F007EA">
        <w:rPr>
          <w:rFonts w:ascii="Arial" w:hAnsi="Arial" w:cs="Arial"/>
        </w:rPr>
        <w:t xml:space="preserve"> сельского поселения </w:t>
      </w:r>
      <w:r w:rsidR="00F007EA">
        <w:rPr>
          <w:rFonts w:ascii="Arial" w:hAnsi="Arial" w:cs="Arial"/>
        </w:rPr>
        <w:t>на 2021 год, согласно приложению.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>Контроль за исполнением настоящего постановления возл</w:t>
      </w:r>
      <w:r w:rsidR="00F007EA">
        <w:rPr>
          <w:rFonts w:ascii="Arial" w:hAnsi="Arial" w:cs="Arial"/>
        </w:rPr>
        <w:t>агаю на себя.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proofErr w:type="gramStart"/>
      <w:r w:rsidR="00EE0A43" w:rsidRPr="00F00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05FD0">
        <w:rPr>
          <w:rFonts w:ascii="Arial" w:hAnsi="Arial" w:cs="Arial"/>
        </w:rPr>
        <w:t>А.В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105FD0">
        <w:rPr>
          <w:rFonts w:ascii="Arial" w:hAnsi="Arial" w:cs="Arial"/>
        </w:rPr>
        <w:t>Канаев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  <w:bookmarkStart w:id="0" w:name="_GoBack"/>
      <w:bookmarkEnd w:id="0"/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942A11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105FD0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105FD0" w:rsidRDefault="00105FD0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6900F9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О</w:t>
      </w:r>
      <w:r w:rsidR="00EE0A43" w:rsidRPr="00F007E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16</w:t>
      </w:r>
      <w:r w:rsidR="00EE0A43" w:rsidRPr="00F007EA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EE0A43" w:rsidRPr="00F007EA">
        <w:rPr>
          <w:rFonts w:ascii="Arial" w:hAnsi="Arial" w:cs="Arial"/>
        </w:rPr>
        <w:t>.</w:t>
      </w:r>
      <w:r w:rsidR="003874AF" w:rsidRPr="00F007EA">
        <w:rPr>
          <w:rFonts w:ascii="Arial" w:hAnsi="Arial" w:cs="Arial"/>
        </w:rPr>
        <w:t xml:space="preserve">2021 </w:t>
      </w:r>
      <w:r w:rsidR="00942A11">
        <w:rPr>
          <w:rFonts w:ascii="Arial" w:hAnsi="Arial" w:cs="Arial"/>
        </w:rPr>
        <w:t>№</w:t>
      </w:r>
      <w:r w:rsidR="009A53F8">
        <w:rPr>
          <w:rFonts w:ascii="Arial" w:hAnsi="Arial" w:cs="Arial"/>
        </w:rPr>
        <w:t>7</w:t>
      </w:r>
      <w:r w:rsidR="00942A11">
        <w:rPr>
          <w:rFonts w:ascii="Arial" w:hAnsi="Arial" w:cs="Arial"/>
        </w:rPr>
        <w:t xml:space="preserve"> 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F007EA" w:rsidRPr="00F007EA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105FD0">
        <w:rPr>
          <w:rStyle w:val="a3"/>
          <w:rFonts w:ascii="Arial" w:eastAsia="Courier New" w:hAnsi="Arial" w:cs="Arial"/>
          <w:sz w:val="24"/>
          <w:szCs w:val="24"/>
          <w:u w:val="none"/>
        </w:rPr>
        <w:t>Ломовецкого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2021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 w:firstRow="1" w:lastRow="0" w:firstColumn="1" w:lastColumn="0" w:noHBand="0" w:noVBand="1"/>
      </w:tblPr>
      <w:tblGrid>
        <w:gridCol w:w="931"/>
        <w:gridCol w:w="4448"/>
        <w:gridCol w:w="2091"/>
        <w:gridCol w:w="2234"/>
      </w:tblGrid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73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Общие мероприятия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Обеспечение исполнения органами власти статьи 16 Налогового кодекса РФ и проведения верификации и обновления информации  в интернет</w:t>
            </w:r>
            <w:r w:rsidR="001F0A2E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-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color w:val="auto"/>
                <w:sz w:val="24"/>
                <w:szCs w:val="24"/>
              </w:rPr>
              <w:t>Мероприятия по налогу на имущество организаций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Формирование перечня объектов, предусмотренных пп.1,2 и 1 статьи 378 Налогового кодекса Российской Федерации, и проведение мероприятий по максимальному наполнению данного Перечня</w:t>
            </w:r>
          </w:p>
        </w:tc>
        <w:tc>
          <w:tcPr>
            <w:tcW w:w="1008" w:type="pct"/>
          </w:tcPr>
          <w:p w:rsidR="003874AF" w:rsidRPr="00F007EA" w:rsidRDefault="00F007EA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30.12.2021 </w:t>
            </w:r>
            <w:r w:rsidR="003874AF" w:rsidRPr="00F007EA">
              <w:rPr>
                <w:rFonts w:ascii="Arial" w:hAnsi="Arial" w:cs="Arial"/>
                <w:sz w:val="24"/>
                <w:szCs w:val="24"/>
              </w:rPr>
              <w:t>ежеквартальный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отчет на заседании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рабочей группы 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sz w:val="24"/>
                <w:szCs w:val="24"/>
              </w:rPr>
              <w:t>Мероприятия по земельному налогу и налогу на имущество физических лиц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до 01.06.2021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rPr>
          <w:trHeight w:val="1182"/>
        </w:trPr>
        <w:tc>
          <w:tcPr>
            <w:tcW w:w="503" w:type="pct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3.2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разъяснительной работы с физическими лицами –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3.3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в соответствии со статьей 69.1 Федерального закона от 13 июля 2016 года №</w:t>
            </w:r>
            <w:r w:rsidR="00942A11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218-ФЗ «О государственной регистрации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недвижимости» в части выявления правообладателей  ранее учтенных объектов недвижимости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 xml:space="preserve">с </w:t>
            </w:r>
            <w:r w:rsidR="00F007EA">
              <w:rPr>
                <w:rFonts w:ascii="Arial" w:hAnsi="Arial" w:cs="Arial"/>
                <w:sz w:val="24"/>
                <w:szCs w:val="24"/>
              </w:rPr>
              <w:t>0</w:t>
            </w:r>
            <w:r w:rsidRPr="00F007EA">
              <w:rPr>
                <w:rFonts w:ascii="Arial" w:hAnsi="Arial" w:cs="Arial"/>
                <w:sz w:val="24"/>
                <w:szCs w:val="24"/>
              </w:rPr>
              <w:t xml:space="preserve">1.07.2021 на 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Представление в Управление ФНС России по Орловской области, Управление </w:t>
            </w:r>
            <w:proofErr w:type="spellStart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по Орловской области сведений о количестве принятых и реализованных (внесенных в ЕГРН) решений о выявлении правообладателей ранее учтенных объектах недвижимости (нарастающим итогом)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не позднее 2 числа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отчетного месяца,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начиная с сентября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2021года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3.5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Исполнение органами местного самоуправления Дорожной карты реал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>изации мероприятий по проекту «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Наполнение Единого государственного реестра недвижимости необходимыми сведениями» Орловской области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Главный специалист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–архитектор отдела архитектуры, строительства ЖКХ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  <w:tr w:rsidR="00C7294F" w:rsidRPr="00F007EA" w:rsidTr="00C7294F">
        <w:tc>
          <w:tcPr>
            <w:tcW w:w="503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3.6</w:t>
            </w:r>
          </w:p>
        </w:tc>
        <w:tc>
          <w:tcPr>
            <w:tcW w:w="2315" w:type="pct"/>
            <w:vAlign w:val="center"/>
          </w:tcPr>
          <w:p w:rsidR="00C7294F" w:rsidRPr="00F007EA" w:rsidRDefault="00C7294F" w:rsidP="00C7294F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</w:t>
            </w:r>
            <w:r w:rsidR="00942A11">
              <w:rPr>
                <w:rStyle w:val="2105pt"/>
                <w:rFonts w:ascii="Arial" w:hAnsi="Arial" w:cs="Arial"/>
                <w:sz w:val="24"/>
                <w:szCs w:val="24"/>
              </w:rPr>
              <w:t>размещенных в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ФИАС.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08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</w:tcPr>
          <w:p w:rsidR="00C7294F" w:rsidRPr="00F007EA" w:rsidRDefault="00C7294F" w:rsidP="00C7294F">
            <w:pPr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C7294F">
        <w:tc>
          <w:tcPr>
            <w:tcW w:w="503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3.7</w:t>
            </w:r>
          </w:p>
        </w:tc>
        <w:tc>
          <w:tcPr>
            <w:tcW w:w="2315" w:type="pct"/>
          </w:tcPr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Проведение работ по нормализации сведений об объектах недвижимости </w:t>
            </w:r>
            <w:r w:rsidR="00942A11" w:rsidRPr="00F007EA">
              <w:rPr>
                <w:rFonts w:ascii="Arial" w:hAnsi="Arial" w:cs="Arial"/>
                <w:sz w:val="24"/>
                <w:szCs w:val="24"/>
              </w:rPr>
              <w:t>(</w:t>
            </w:r>
            <w:r w:rsidRPr="00F007EA">
              <w:rPr>
                <w:rFonts w:ascii="Arial" w:hAnsi="Arial" w:cs="Arial"/>
                <w:sz w:val="24"/>
                <w:szCs w:val="24"/>
              </w:rPr>
              <w:t>включая земельные участки),</w:t>
            </w:r>
            <w:r w:rsidR="0094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Fonts w:ascii="Arial" w:hAnsi="Arial" w:cs="Arial"/>
                <w:sz w:val="24"/>
                <w:szCs w:val="24"/>
              </w:rPr>
              <w:t>по которым отсутствуют адресные сведения, в соответствии со структурой адресных данных, предусмотренной для сведения ФИАС:</w:t>
            </w:r>
          </w:p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 - доведение списков объектов недвижимости до органов местного самоуправления муниципальных образований;</w:t>
            </w:r>
          </w:p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-</w:t>
            </w:r>
            <w:r w:rsidR="0094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Fonts w:ascii="Arial" w:hAnsi="Arial" w:cs="Arial"/>
                <w:sz w:val="24"/>
                <w:szCs w:val="24"/>
              </w:rPr>
              <w:t>проведение инвентаризации полученных сведений, приведение адресов объектов в соответствии с действующим законодательством</w:t>
            </w:r>
            <w:r w:rsidR="00942A11" w:rsidRPr="00F007E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внесение адресов в ФИАС; обращение в орган регистрации права с заявлением о внесении соответствующих сведений в ЕГРН</w:t>
            </w:r>
          </w:p>
        </w:tc>
        <w:tc>
          <w:tcPr>
            <w:tcW w:w="1008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173" w:type="pct"/>
          </w:tcPr>
          <w:p w:rsidR="00C7294F" w:rsidRPr="00F007EA" w:rsidRDefault="00C7294F" w:rsidP="00C7294F">
            <w:pPr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3.8</w:t>
            </w:r>
            <w:r w:rsidR="003874AF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315" w:type="pct"/>
            <w:vAlign w:val="bottom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,не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Отдел по управлению муниципальным </w:t>
            </w:r>
            <w:proofErr w:type="gramStart"/>
            <w:r w:rsidRPr="00F007EA">
              <w:rPr>
                <w:rFonts w:ascii="Arial" w:hAnsi="Arial" w:cs="Arial"/>
                <w:sz w:val="24"/>
                <w:szCs w:val="24"/>
              </w:rPr>
              <w:t xml:space="preserve">имуществом  </w:t>
            </w:r>
            <w:r w:rsidR="00F007EA" w:rsidRPr="00F007E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7294F" w:rsidRPr="00F007EA">
              <w:rPr>
                <w:rFonts w:ascii="Arial" w:hAnsi="Arial" w:cs="Arial"/>
                <w:sz w:val="24"/>
                <w:szCs w:val="24"/>
              </w:rPr>
              <w:t xml:space="preserve">по согласованию) </w:t>
            </w:r>
          </w:p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07A"/>
    <w:rsid w:val="00105FD0"/>
    <w:rsid w:val="001F0A2E"/>
    <w:rsid w:val="003874AF"/>
    <w:rsid w:val="004E2E3F"/>
    <w:rsid w:val="00551B63"/>
    <w:rsid w:val="005F1414"/>
    <w:rsid w:val="00644CF2"/>
    <w:rsid w:val="006900F9"/>
    <w:rsid w:val="007D022D"/>
    <w:rsid w:val="007E746B"/>
    <w:rsid w:val="008B1B80"/>
    <w:rsid w:val="00942A11"/>
    <w:rsid w:val="009A53F8"/>
    <w:rsid w:val="00A1552C"/>
    <w:rsid w:val="00B4786D"/>
    <w:rsid w:val="00C005D9"/>
    <w:rsid w:val="00C4607A"/>
    <w:rsid w:val="00C7294F"/>
    <w:rsid w:val="00EC2AA2"/>
    <w:rsid w:val="00EE0A43"/>
    <w:rsid w:val="00F0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F40A"/>
  <w15:docId w15:val="{3EF57A37-ABFA-4165-974E-B17CCEC1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0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0F9"/>
    <w:rPr>
      <w:rFonts w:ascii="Segoe UI" w:eastAsia="Courier New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</cp:lastModifiedBy>
  <cp:revision>14</cp:revision>
  <cp:lastPrinted>2021-04-21T07:59:00Z</cp:lastPrinted>
  <dcterms:created xsi:type="dcterms:W3CDTF">2021-03-19T12:17:00Z</dcterms:created>
  <dcterms:modified xsi:type="dcterms:W3CDTF">2021-04-21T07:59:00Z</dcterms:modified>
</cp:coreProperties>
</file>