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B42520" w:rsidRDefault="0049784C" w:rsidP="00B4252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784C" w:rsidRPr="00B42520" w:rsidRDefault="0049784C" w:rsidP="00B4252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результатам   внешней   проверки  </w:t>
      </w:r>
      <w:r w:rsidR="00F73A2D">
        <w:rPr>
          <w:rFonts w:ascii="Times New Roman" w:hAnsi="Times New Roman" w:cs="Times New Roman"/>
          <w:b/>
          <w:sz w:val="28"/>
          <w:szCs w:val="28"/>
          <w:lang w:eastAsia="ru-RU"/>
        </w:rPr>
        <w:t>годового</w:t>
      </w: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 отчёта</w:t>
      </w:r>
    </w:p>
    <w:p w:rsidR="0049784C" w:rsidRPr="00B42520" w:rsidRDefault="0049784C" w:rsidP="00B4252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165CF7"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Муральского</w:t>
      </w:r>
      <w:proofErr w:type="spellEnd"/>
      <w:r w:rsidR="00FB3008"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7F23E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B42520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F85E83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165CF7" w:rsidRPr="00F85E83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>пункта2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F85E8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30D" w:rsidRPr="00F85E8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630D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утверждённого решением </w:t>
      </w:r>
      <w:proofErr w:type="spellStart"/>
      <w:r w:rsidR="00B9630D" w:rsidRPr="00F85E8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, проведена  внешняя   проверка   годового   отчёта   об   исполнении   бюджета  </w:t>
      </w:r>
      <w:proofErr w:type="spellStart"/>
      <w:r w:rsidR="00165CF7" w:rsidRPr="00F85E83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F85E83" w:rsidRPr="00F85E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 )</w:t>
      </w:r>
      <w:proofErr w:type="gramStart"/>
      <w:r w:rsidR="00E1063F" w:rsidRPr="00F85E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аправленного в Контрольно-ревизионную комиссию </w:t>
      </w:r>
      <w:proofErr w:type="spellStart"/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165CF7" w:rsidRPr="00F85E83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F55E9A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F85E83">
        <w:rPr>
          <w:rFonts w:ascii="Times New Roman" w:hAnsi="Times New Roman" w:cs="Times New Roman"/>
          <w:sz w:val="24"/>
          <w:szCs w:val="24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E1063F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84C" w:rsidRPr="00FB2F34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FB2F34" w:rsidRPr="00FB2F34">
        <w:rPr>
          <w:rFonts w:ascii="Times New Roman" w:hAnsi="Times New Roman" w:cs="Times New Roman"/>
          <w:sz w:val="24"/>
          <w:szCs w:val="24"/>
        </w:rPr>
        <w:t>3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FB2F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proofErr w:type="spellStart"/>
      <w:r w:rsidR="00165CF7" w:rsidRPr="00FB2F34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B9630D" w:rsidRPr="00FB2F34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FB2F34">
        <w:rPr>
          <w:rFonts w:ascii="Times New Roman" w:hAnsi="Times New Roman" w:cs="Times New Roman"/>
          <w:sz w:val="24"/>
          <w:szCs w:val="24"/>
        </w:rPr>
        <w:t>2</w:t>
      </w:r>
      <w:r w:rsidR="00FB2F34" w:rsidRPr="00FB2F34">
        <w:rPr>
          <w:rFonts w:ascii="Times New Roman" w:hAnsi="Times New Roman" w:cs="Times New Roman"/>
          <w:sz w:val="24"/>
          <w:szCs w:val="24"/>
        </w:rPr>
        <w:t>9</w:t>
      </w:r>
      <w:r w:rsidR="0049784C" w:rsidRPr="00FB2F34">
        <w:rPr>
          <w:rFonts w:ascii="Times New Roman" w:hAnsi="Times New Roman" w:cs="Times New Roman"/>
          <w:sz w:val="24"/>
          <w:szCs w:val="24"/>
        </w:rPr>
        <w:t>.12.20</w:t>
      </w:r>
      <w:r w:rsidR="00012B78" w:rsidRPr="00FB2F34">
        <w:rPr>
          <w:rFonts w:ascii="Times New Roman" w:hAnsi="Times New Roman" w:cs="Times New Roman"/>
          <w:sz w:val="24"/>
          <w:szCs w:val="24"/>
        </w:rPr>
        <w:t>1</w:t>
      </w:r>
      <w:r w:rsidR="00FB2F34" w:rsidRPr="00FB2F34">
        <w:rPr>
          <w:rFonts w:ascii="Times New Roman" w:hAnsi="Times New Roman" w:cs="Times New Roman"/>
          <w:sz w:val="24"/>
          <w:szCs w:val="24"/>
        </w:rPr>
        <w:t>2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2F34" w:rsidRPr="00FB2F34">
        <w:rPr>
          <w:rFonts w:ascii="Times New Roman" w:hAnsi="Times New Roman" w:cs="Times New Roman"/>
          <w:sz w:val="24"/>
          <w:szCs w:val="24"/>
        </w:rPr>
        <w:t>86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FB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F7" w:rsidRPr="00FB2F34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012B78" w:rsidRPr="00FB2F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B2F34" w:rsidRPr="00FB2F34">
        <w:rPr>
          <w:rFonts w:ascii="Times New Roman" w:hAnsi="Times New Roman" w:cs="Times New Roman"/>
          <w:sz w:val="24"/>
          <w:szCs w:val="24"/>
        </w:rPr>
        <w:t>3</w:t>
      </w:r>
      <w:r w:rsidR="0049784C" w:rsidRPr="00FB2F34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FB2F34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FB2F34" w:rsidRPr="00FB2F34">
        <w:rPr>
          <w:rFonts w:ascii="Times New Roman" w:hAnsi="Times New Roman" w:cs="Times New Roman"/>
          <w:sz w:val="24"/>
          <w:szCs w:val="24"/>
        </w:rPr>
        <w:t>4</w:t>
      </w:r>
      <w:r w:rsidR="00012B78" w:rsidRPr="00FB2F34">
        <w:rPr>
          <w:rFonts w:ascii="Times New Roman" w:hAnsi="Times New Roman" w:cs="Times New Roman"/>
          <w:sz w:val="24"/>
          <w:szCs w:val="24"/>
        </w:rPr>
        <w:t>-201</w:t>
      </w:r>
      <w:r w:rsidR="00FB2F34" w:rsidRPr="00FB2F34">
        <w:rPr>
          <w:rFonts w:ascii="Times New Roman" w:hAnsi="Times New Roman" w:cs="Times New Roman"/>
          <w:sz w:val="24"/>
          <w:szCs w:val="24"/>
        </w:rPr>
        <w:t>5</w:t>
      </w:r>
      <w:r w:rsidR="00012B78" w:rsidRPr="00FB2F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49784C" w:rsidRPr="00FB2F34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8F1D01" w:rsidRDefault="008F1D01" w:rsidP="008F1D0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FB2F34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111 от 31.10. 2013 </w:t>
      </w:r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 года «Об утверждении Положения о бюджетном процессе в </w:t>
      </w:r>
      <w:proofErr w:type="spellStart"/>
      <w:r w:rsidRPr="00FB2F34">
        <w:rPr>
          <w:rFonts w:ascii="Times New Roman" w:hAnsi="Times New Roman" w:cs="Times New Roman"/>
          <w:sz w:val="24"/>
          <w:szCs w:val="24"/>
          <w:lang w:eastAsia="ru-RU"/>
        </w:rPr>
        <w:t>Муравльском</w:t>
      </w:r>
      <w:proofErr w:type="spellEnd"/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FB2F34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области» утверждено Положение о бюджетном процессе в </w:t>
      </w:r>
      <w:proofErr w:type="spellStart"/>
      <w:r w:rsidRPr="00FB2F34">
        <w:rPr>
          <w:rFonts w:ascii="Times New Roman" w:hAnsi="Times New Roman" w:cs="Times New Roman"/>
          <w:sz w:val="24"/>
          <w:szCs w:val="24"/>
          <w:lang w:eastAsia="ru-RU"/>
        </w:rPr>
        <w:t>Муравльском</w:t>
      </w:r>
      <w:proofErr w:type="spellEnd"/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FB2F34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FB2F3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2AD" w:rsidRPr="00E11281" w:rsidRDefault="000562AD" w:rsidP="000562A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п.2 статьи 14 Положения о бюджетном процессе в </w:t>
      </w:r>
      <w:proofErr w:type="spellStart"/>
      <w:r w:rsidRPr="00E11281">
        <w:rPr>
          <w:rFonts w:ascii="Times New Roman" w:hAnsi="Times New Roman" w:cs="Times New Roman"/>
          <w:sz w:val="24"/>
          <w:szCs w:val="24"/>
          <w:lang w:eastAsia="ru-RU"/>
        </w:rPr>
        <w:t>Муравльском</w:t>
      </w:r>
      <w:proofErr w:type="spellEnd"/>
      <w:r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отчет об исполнении местного бюджета за первый квартал, полугодие и 9 месяцев  текущего финансового года </w:t>
      </w:r>
      <w:r w:rsidR="00E11281"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должен </w:t>
      </w:r>
      <w:r w:rsidRPr="00E11281">
        <w:rPr>
          <w:rFonts w:ascii="Times New Roman" w:hAnsi="Times New Roman" w:cs="Times New Roman"/>
          <w:sz w:val="24"/>
          <w:szCs w:val="24"/>
          <w:lang w:eastAsia="ru-RU"/>
        </w:rPr>
        <w:t>утвержда</w:t>
      </w:r>
      <w:r w:rsidR="00E11281"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ться постановлением </w:t>
      </w:r>
      <w:r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E11281" w:rsidRPr="00E112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и доводит</w:t>
      </w:r>
      <w:r w:rsidR="00E11281" w:rsidRPr="00E112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11281">
        <w:rPr>
          <w:rFonts w:ascii="Times New Roman" w:hAnsi="Times New Roman" w:cs="Times New Roman"/>
          <w:sz w:val="24"/>
          <w:szCs w:val="24"/>
          <w:lang w:eastAsia="ru-RU"/>
        </w:rPr>
        <w:t>ся  до сведения депутатов.</w:t>
      </w:r>
      <w:r w:rsidR="00E11281"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 нормативные акты  не размещены на сайте администрации.</w:t>
      </w:r>
      <w:r w:rsidRPr="00E11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35D0" w:rsidRDefault="00067FB8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11281">
        <w:rPr>
          <w:rFonts w:ascii="Times New Roman" w:hAnsi="Times New Roman" w:cs="Times New Roman"/>
          <w:sz w:val="24"/>
          <w:szCs w:val="24"/>
        </w:rPr>
        <w:t xml:space="preserve">       </w:t>
      </w:r>
      <w:r w:rsidR="00150CDB" w:rsidRPr="00E11281">
        <w:rPr>
          <w:rStyle w:val="highlight"/>
          <w:rFonts w:ascii="Times New Roman" w:hAnsi="Times New Roman" w:cs="Times New Roman"/>
          <w:sz w:val="24"/>
          <w:szCs w:val="24"/>
        </w:rPr>
        <w:t xml:space="preserve">        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годовой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бюджетной отчетности  </w:t>
      </w:r>
      <w:proofErr w:type="spellStart"/>
      <w:r w:rsidR="00165CF7" w:rsidRPr="00E11281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E1063F" w:rsidRPr="00E11281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B42520" w:rsidRPr="00E11281">
        <w:rPr>
          <w:rFonts w:ascii="Times New Roman" w:hAnsi="Times New Roman" w:cs="Times New Roman"/>
          <w:sz w:val="24"/>
          <w:szCs w:val="24"/>
        </w:rPr>
        <w:t>2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год (далее – бюджетная отчетность) показала, что бюджетная отчетность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сельским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поселением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представлена  не в полном  объеме, предусмотренном </w:t>
      </w:r>
      <w:r w:rsidR="00B814D1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11281">
        <w:rPr>
          <w:rFonts w:ascii="Times New Roman" w:hAnsi="Times New Roman" w:cs="Times New Roman"/>
          <w:sz w:val="24"/>
          <w:szCs w:val="24"/>
        </w:rPr>
        <w:t>п. 1</w:t>
      </w:r>
      <w:r w:rsidR="00062622" w:rsidRPr="00E11281">
        <w:rPr>
          <w:rFonts w:ascii="Times New Roman" w:hAnsi="Times New Roman" w:cs="Times New Roman"/>
          <w:sz w:val="24"/>
          <w:szCs w:val="24"/>
        </w:rPr>
        <w:t>2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. Инструкции о порядке составления и представления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E1063F" w:rsidRPr="00E112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63F" w:rsidRPr="00E11281">
        <w:rPr>
          <w:rFonts w:ascii="Times New Roman" w:hAnsi="Times New Roman" w:cs="Times New Roman"/>
          <w:sz w:val="24"/>
          <w:szCs w:val="24"/>
        </w:rPr>
        <w:t xml:space="preserve"> квартальной</w:t>
      </w:r>
      <w:r w:rsidR="00B814D1" w:rsidRPr="00E11281">
        <w:rPr>
          <w:rFonts w:ascii="Times New Roman" w:hAnsi="Times New Roman" w:cs="Times New Roman"/>
          <w:sz w:val="24"/>
          <w:szCs w:val="24"/>
        </w:rPr>
        <w:t xml:space="preserve"> и месячной 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 отчетности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E11281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="00E1063F" w:rsidRPr="00E11281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E11281">
        <w:rPr>
          <w:rFonts w:ascii="Times New Roman" w:hAnsi="Times New Roman" w:cs="Times New Roman"/>
          <w:sz w:val="24"/>
          <w:szCs w:val="24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E11281">
        <w:rPr>
          <w:rFonts w:ascii="Times New Roman" w:hAnsi="Times New Roman" w:cs="Times New Roman"/>
          <w:sz w:val="24"/>
          <w:szCs w:val="24"/>
        </w:rPr>
        <w:t>.</w:t>
      </w:r>
    </w:p>
    <w:p w:rsidR="00360575" w:rsidRPr="004B59CC" w:rsidRDefault="004B59CC" w:rsidP="00360575">
      <w:pPr>
        <w:pStyle w:val="aa"/>
        <w:rPr>
          <w:rFonts w:ascii="Times New Roman" w:hAnsi="Times New Roman"/>
          <w:sz w:val="24"/>
          <w:szCs w:val="24"/>
        </w:rPr>
      </w:pPr>
      <w:bookmarkStart w:id="0" w:name="YANDEX_35"/>
      <w:bookmarkStart w:id="1" w:name="YANDEX_36"/>
      <w:bookmarkEnd w:id="0"/>
      <w:bookmarkEnd w:id="1"/>
      <w:r w:rsidRPr="004B59CC">
        <w:rPr>
          <w:rFonts w:ascii="Times New Roman" w:hAnsi="Times New Roman"/>
          <w:sz w:val="24"/>
          <w:szCs w:val="24"/>
        </w:rPr>
        <w:t xml:space="preserve">      </w:t>
      </w:r>
      <w:r w:rsidR="00360575" w:rsidRPr="004B59CC">
        <w:rPr>
          <w:rFonts w:ascii="Times New Roman" w:hAnsi="Times New Roman"/>
          <w:sz w:val="24"/>
          <w:szCs w:val="24"/>
        </w:rPr>
        <w:t xml:space="preserve">  В ходе проверки полноты представленной отчетности было установлено</w:t>
      </w:r>
      <w:proofErr w:type="gramStart"/>
      <w:r w:rsidR="00360575" w:rsidRPr="004B59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60575" w:rsidRPr="004B59CC">
        <w:rPr>
          <w:rFonts w:ascii="Times New Roman" w:hAnsi="Times New Roman"/>
          <w:sz w:val="24"/>
          <w:szCs w:val="24"/>
        </w:rPr>
        <w:t xml:space="preserve"> что  в финансовый отдел администрацией </w:t>
      </w:r>
      <w:proofErr w:type="spellStart"/>
      <w:r w:rsidR="00360575" w:rsidRPr="004B59CC">
        <w:rPr>
          <w:rFonts w:ascii="Times New Roman" w:hAnsi="Times New Roman"/>
          <w:sz w:val="24"/>
          <w:szCs w:val="24"/>
        </w:rPr>
        <w:t>Мур</w:t>
      </w:r>
      <w:r>
        <w:rPr>
          <w:rFonts w:ascii="Times New Roman" w:hAnsi="Times New Roman"/>
          <w:sz w:val="24"/>
          <w:szCs w:val="24"/>
        </w:rPr>
        <w:t>а</w:t>
      </w:r>
      <w:r w:rsidR="00360575" w:rsidRPr="004B59CC">
        <w:rPr>
          <w:rFonts w:ascii="Times New Roman" w:hAnsi="Times New Roman"/>
          <w:sz w:val="24"/>
          <w:szCs w:val="24"/>
        </w:rPr>
        <w:t>вльского</w:t>
      </w:r>
      <w:proofErr w:type="spellEnd"/>
      <w:r w:rsidR="00360575" w:rsidRPr="004B59CC">
        <w:rPr>
          <w:rFonts w:ascii="Times New Roman" w:hAnsi="Times New Roman"/>
          <w:sz w:val="24"/>
          <w:szCs w:val="24"/>
        </w:rPr>
        <w:t xml:space="preserve"> сельского поселения не  представлены отчеты ф.0503184 , ф. 0503128, ф.0503127, таблицы к пояснительной записке 1-7 и формы 0503161-0503178 (искл.ф.0503168,0503169).</w:t>
      </w:r>
    </w:p>
    <w:p w:rsidR="00360575" w:rsidRPr="004B59CC" w:rsidRDefault="00360575" w:rsidP="0036057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  </w:t>
      </w:r>
      <w:r w:rsidR="004B59CC" w:rsidRPr="004B59CC">
        <w:rPr>
          <w:rFonts w:ascii="Times New Roman" w:hAnsi="Times New Roman"/>
          <w:sz w:val="24"/>
          <w:szCs w:val="24"/>
        </w:rPr>
        <w:t xml:space="preserve"> В нарушение </w:t>
      </w:r>
      <w:r w:rsidRPr="004B59CC">
        <w:rPr>
          <w:rFonts w:ascii="Times New Roman" w:hAnsi="Times New Roman"/>
          <w:sz w:val="24"/>
          <w:szCs w:val="24"/>
        </w:rPr>
        <w:t xml:space="preserve"> письм</w:t>
      </w:r>
      <w:r w:rsidR="004B59CC" w:rsidRPr="004B59CC">
        <w:rPr>
          <w:rFonts w:ascii="Times New Roman" w:hAnsi="Times New Roman"/>
          <w:sz w:val="24"/>
          <w:szCs w:val="24"/>
        </w:rPr>
        <w:t>а</w:t>
      </w:r>
      <w:r w:rsidRPr="004B59CC">
        <w:rPr>
          <w:rFonts w:ascii="Times New Roman" w:hAnsi="Times New Roman"/>
          <w:sz w:val="24"/>
          <w:szCs w:val="24"/>
        </w:rPr>
        <w:t xml:space="preserve"> Министерства финансов РФ от 5 апреля 2013 года № 02-06-07/11164 бухгалтерские записи по отражению в учете учреждения и органа, выполняющего функции и полномочия учредителя, операций по предоставлению субсидии на выполнение государственного (муниципального задания), субсидии на иные цели</w:t>
      </w:r>
      <w:r w:rsidR="004B59CC" w:rsidRPr="004B59CC">
        <w:rPr>
          <w:rFonts w:ascii="Times New Roman" w:hAnsi="Times New Roman"/>
          <w:sz w:val="24"/>
          <w:szCs w:val="24"/>
        </w:rPr>
        <w:t xml:space="preserve"> не ведутся.</w:t>
      </w:r>
    </w:p>
    <w:p w:rsidR="00360575" w:rsidRPr="007F23EB" w:rsidRDefault="00360575" w:rsidP="00360575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0575" w:rsidRPr="007F23EB" w:rsidRDefault="00360575" w:rsidP="00360575">
      <w:pPr>
        <w:ind w:firstLine="720"/>
        <w:jc w:val="both"/>
        <w:rPr>
          <w:rFonts w:ascii="Times New Roman" w:hAnsi="Times New Roman"/>
          <w:highlight w:val="yellow"/>
        </w:rPr>
      </w:pP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4B59CC">
        <w:rPr>
          <w:rFonts w:ascii="Times New Roman" w:hAnsi="Times New Roman"/>
          <w:sz w:val="24"/>
          <w:szCs w:val="24"/>
        </w:rPr>
        <w:lastRenderedPageBreak/>
        <w:t xml:space="preserve"> Учет плановых назначений у главного распорядителя – администрации </w:t>
      </w:r>
      <w:proofErr w:type="spellStart"/>
      <w:r w:rsidRPr="004B59CC">
        <w:rPr>
          <w:rFonts w:ascii="Times New Roman" w:hAnsi="Times New Roman"/>
          <w:sz w:val="24"/>
          <w:szCs w:val="24"/>
        </w:rPr>
        <w:t>Муравльского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сельского поселения  не ведется.</w:t>
      </w:r>
      <w:r w:rsidRPr="004B59CC">
        <w:rPr>
          <w:rFonts w:ascii="Times New Roman" w:hAnsi="Times New Roman"/>
          <w:sz w:val="28"/>
          <w:szCs w:val="28"/>
        </w:rPr>
        <w:t xml:space="preserve"> 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8"/>
          <w:szCs w:val="28"/>
        </w:rPr>
        <w:t xml:space="preserve"> </w:t>
      </w:r>
      <w:r w:rsidRPr="004B59CC">
        <w:rPr>
          <w:rFonts w:ascii="Times New Roman" w:hAnsi="Times New Roman" w:cs="Times New Roman"/>
          <w:sz w:val="24"/>
          <w:szCs w:val="24"/>
        </w:rPr>
        <w:t>В сельском поселении не ведется учет имущества  казны. Для учета казны необходимо применять следующие счета: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4"/>
          <w:szCs w:val="24"/>
        </w:rPr>
        <w:t>010851000 «Недвижимое имущество, составляющее казну»;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4"/>
          <w:szCs w:val="24"/>
        </w:rPr>
        <w:t>010852000 «Движимое имущество, составляющее казну»;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4"/>
          <w:szCs w:val="24"/>
        </w:rPr>
        <w:t>010853000 «Драгоценности и ювелирные изделия»;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4"/>
          <w:szCs w:val="24"/>
        </w:rPr>
        <w:t>010854000 «Нематериальные активы, составляющие казну»;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4"/>
          <w:szCs w:val="24"/>
        </w:rPr>
        <w:t>010855000 «</w:t>
      </w:r>
      <w:proofErr w:type="spellStart"/>
      <w:r w:rsidRPr="004B59CC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4B59CC">
        <w:rPr>
          <w:rFonts w:ascii="Times New Roman" w:hAnsi="Times New Roman" w:cs="Times New Roman"/>
          <w:sz w:val="24"/>
          <w:szCs w:val="24"/>
        </w:rPr>
        <w:t xml:space="preserve"> активы, составляющие казну»;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4"/>
          <w:szCs w:val="24"/>
        </w:rPr>
        <w:t>010856000 «Материальные запасы, составляющие казну».</w:t>
      </w:r>
    </w:p>
    <w:p w:rsidR="00360575" w:rsidRPr="004B59CC" w:rsidRDefault="00360575" w:rsidP="0036057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 w:cs="Times New Roman"/>
          <w:sz w:val="24"/>
          <w:szCs w:val="24"/>
        </w:rPr>
        <w:t>При заполнении ф.0503168 «</w:t>
      </w:r>
      <w:r w:rsidR="004B59CC" w:rsidRPr="004B59CC">
        <w:rPr>
          <w:rFonts w:ascii="Times New Roman" w:hAnsi="Times New Roman" w:cs="Times New Roman"/>
          <w:sz w:val="24"/>
          <w:szCs w:val="24"/>
        </w:rPr>
        <w:t>С</w:t>
      </w:r>
      <w:r w:rsidRPr="004B59CC">
        <w:rPr>
          <w:rFonts w:ascii="Times New Roman" w:hAnsi="Times New Roman" w:cs="Times New Roman"/>
          <w:sz w:val="24"/>
          <w:szCs w:val="24"/>
        </w:rPr>
        <w:t xml:space="preserve">ведения о движении нефинансовых активов» допущена ошибка. Итоговая сумма стр.010 должна равняться сумме стр.011, 012, 013, 014, 015, 016, 017, 018. В представленной форме равенство не соблюдено. Разница в показателях составила 72538 рублей.  В течение года были приобретены основные  средства на сумму 6000 рублей, однако по строке 070 «вложения в основные средства» данная сумма не указана. По стр.058 не была проведена начисленная амортизация. Не проведены обороты по строке 190 «материальные запасы», однако в ф.  0503121 «отчет о финансовых результатах деятельности» стр.340 и 440 «увеличение стоимости материальных запасов», «уменьшение стоимости материальных запасов». </w:t>
      </w:r>
    </w:p>
    <w:p w:rsidR="00360575" w:rsidRPr="004B59CC" w:rsidRDefault="00360575" w:rsidP="0036057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Администрация </w:t>
      </w:r>
      <w:proofErr w:type="spellStart"/>
      <w:r w:rsidRPr="004B59CC">
        <w:rPr>
          <w:rFonts w:ascii="Times New Roman" w:hAnsi="Times New Roman"/>
          <w:sz w:val="24"/>
          <w:szCs w:val="24"/>
        </w:rPr>
        <w:t>Муравльского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сельского поселения заключил</w:t>
      </w:r>
      <w:r w:rsidR="004F0C75">
        <w:rPr>
          <w:rFonts w:ascii="Times New Roman" w:hAnsi="Times New Roman"/>
          <w:sz w:val="24"/>
          <w:szCs w:val="24"/>
        </w:rPr>
        <w:t>а</w:t>
      </w:r>
      <w:r w:rsidRPr="004B59CC">
        <w:rPr>
          <w:rFonts w:ascii="Times New Roman" w:hAnsi="Times New Roman"/>
          <w:sz w:val="24"/>
          <w:szCs w:val="24"/>
        </w:rPr>
        <w:t xml:space="preserve"> договоры с </w:t>
      </w:r>
      <w:proofErr w:type="spellStart"/>
      <w:r w:rsidRPr="004B59CC">
        <w:rPr>
          <w:rFonts w:ascii="Times New Roman" w:hAnsi="Times New Roman"/>
          <w:sz w:val="24"/>
          <w:szCs w:val="24"/>
        </w:rPr>
        <w:t>Троснянским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МУЖКП по передаче имущества в безвозмездное пользование. В целях обеспечения надлежащего </w:t>
      </w:r>
      <w:proofErr w:type="gramStart"/>
      <w:r w:rsidRPr="004B59C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его сохранностью, целевым использованием и движением, учет имущества необходимо осуществлять по </w:t>
      </w:r>
      <w:proofErr w:type="spellStart"/>
      <w:r w:rsidRPr="004B59CC">
        <w:rPr>
          <w:rFonts w:ascii="Times New Roman" w:hAnsi="Times New Roman"/>
          <w:sz w:val="24"/>
          <w:szCs w:val="24"/>
        </w:rPr>
        <w:t>забалансовому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счету 26 «Имущество, переданное в безвозмездное пользование». Учет п</w:t>
      </w:r>
      <w:r w:rsidR="004F0C75">
        <w:rPr>
          <w:rFonts w:ascii="Times New Roman" w:hAnsi="Times New Roman"/>
          <w:sz w:val="24"/>
          <w:szCs w:val="24"/>
        </w:rPr>
        <w:t>е</w:t>
      </w:r>
      <w:r w:rsidRPr="004B59CC">
        <w:rPr>
          <w:rFonts w:ascii="Times New Roman" w:hAnsi="Times New Roman"/>
          <w:sz w:val="24"/>
          <w:szCs w:val="24"/>
        </w:rPr>
        <w:t xml:space="preserve">реданного  имущества в </w:t>
      </w:r>
      <w:proofErr w:type="spellStart"/>
      <w:r w:rsidRPr="004B59CC">
        <w:rPr>
          <w:rFonts w:ascii="Times New Roman" w:hAnsi="Times New Roman"/>
          <w:sz w:val="24"/>
          <w:szCs w:val="24"/>
        </w:rPr>
        <w:t>Муравльской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администрации не ведется. Операции по учету дотаций в администрации </w:t>
      </w:r>
      <w:proofErr w:type="spellStart"/>
      <w:r w:rsidRPr="004B59CC">
        <w:rPr>
          <w:rFonts w:ascii="Times New Roman" w:hAnsi="Times New Roman"/>
          <w:sz w:val="24"/>
          <w:szCs w:val="24"/>
        </w:rPr>
        <w:t>Муравльского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сельского поселения  отражены по счетам Д 120211000 К 140210100 – счета не предусмотрены инструкцией по бухгалтерскому учету  162-Н , данные операции необходимо отразить по счетам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120111510  К140110151.</w:t>
      </w:r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Бухгалтерская отчетность в администрацию </w:t>
      </w:r>
      <w:proofErr w:type="spellStart"/>
      <w:r w:rsidRPr="004B59CC">
        <w:rPr>
          <w:rFonts w:ascii="Times New Roman" w:hAnsi="Times New Roman"/>
          <w:sz w:val="24"/>
          <w:szCs w:val="24"/>
        </w:rPr>
        <w:t>Муравльского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 сельского поселения МБУК СКО представлена своевременно, но не в полном объеме.</w:t>
      </w:r>
    </w:p>
    <w:p w:rsidR="00360575" w:rsidRPr="004B59CC" w:rsidRDefault="00360575" w:rsidP="00360575">
      <w:pPr>
        <w:pStyle w:val="a8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     Согласно  </w:t>
      </w:r>
      <w:bookmarkStart w:id="2" w:name="_Toc370292569"/>
      <w:bookmarkStart w:id="3" w:name="_Toc334789305"/>
      <w:bookmarkStart w:id="4" w:name="_Toc334785601"/>
      <w:r w:rsidRPr="004B59CC"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 w:rsidRPr="004B59CC">
        <w:rPr>
          <w:rFonts w:ascii="Times New Roman" w:hAnsi="Times New Roman"/>
          <w:sz w:val="24"/>
          <w:szCs w:val="24"/>
        </w:rPr>
        <w:t>МинФина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РФ от 25 марта 2011 г. N 33н</w:t>
      </w:r>
      <w:bookmarkEnd w:id="2"/>
      <w:bookmarkEnd w:id="3"/>
      <w:bookmarkEnd w:id="4"/>
      <w:r w:rsidRPr="004B59CC">
        <w:rPr>
          <w:rFonts w:ascii="Times New Roman" w:hAnsi="Times New Roman"/>
          <w:sz w:val="24"/>
          <w:szCs w:val="24"/>
        </w:rPr>
        <w:t xml:space="preserve">  (в ред. </w:t>
      </w:r>
      <w:hyperlink r:id="rId6" w:history="1">
        <w:r w:rsidRPr="004B59CC">
          <w:rPr>
            <w:rStyle w:val="a4"/>
          </w:rPr>
          <w:t>Приказа</w:t>
        </w:r>
      </w:hyperlink>
      <w:r w:rsidRPr="004B59CC">
        <w:rPr>
          <w:rFonts w:ascii="Times New Roman" w:hAnsi="Times New Roman"/>
          <w:sz w:val="24"/>
          <w:szCs w:val="24"/>
        </w:rPr>
        <w:t xml:space="preserve"> Минфина России от 26.10.2012 N 139н) в состав бухгалтерской отчетности должны быть включены следующие формы отчетов:</w:t>
      </w:r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Баланс государственного (муниципального) учреждения </w:t>
      </w:r>
      <w:hyperlink r:id="rId7" w:anchor="Par1615" w:history="1">
        <w:r w:rsidRPr="004B59CC">
          <w:rPr>
            <w:rStyle w:val="a4"/>
          </w:rPr>
          <w:t>(ф. 0503730)</w:t>
        </w:r>
      </w:hyperlink>
      <w:r w:rsidRPr="004B59CC">
        <w:rPr>
          <w:rFonts w:ascii="Times New Roman" w:hAnsi="Times New Roman"/>
          <w:sz w:val="24"/>
          <w:szCs w:val="24"/>
        </w:rPr>
        <w:t>;</w:t>
      </w:r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учреждения </w:t>
      </w:r>
      <w:hyperlink r:id="rId8" w:anchor="Par1042" w:history="1">
        <w:r w:rsidRPr="004B59CC">
          <w:rPr>
            <w:rStyle w:val="a4"/>
          </w:rPr>
          <w:t>(ф. 0503721)</w:t>
        </w:r>
      </w:hyperlink>
      <w:r w:rsidRPr="004B59CC">
        <w:rPr>
          <w:rFonts w:ascii="Times New Roman" w:hAnsi="Times New Roman"/>
          <w:sz w:val="24"/>
          <w:szCs w:val="24"/>
        </w:rPr>
        <w:t>;</w:t>
      </w:r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Отчет об исполнении учреждением плана его финансово-хозяйственной деятельности </w:t>
      </w:r>
      <w:hyperlink r:id="rId9" w:anchor="Par2586" w:history="1">
        <w:r w:rsidRPr="004B59CC">
          <w:rPr>
            <w:rStyle w:val="a4"/>
          </w:rPr>
          <w:t>(ф. 0503737)</w:t>
        </w:r>
      </w:hyperlink>
      <w:r w:rsidRPr="004B59CC">
        <w:rPr>
          <w:rFonts w:ascii="Times New Roman" w:hAnsi="Times New Roman"/>
          <w:sz w:val="24"/>
          <w:szCs w:val="24"/>
        </w:rPr>
        <w:t>;</w:t>
      </w:r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Пояснительная записка к Балансу учреждения </w:t>
      </w:r>
      <w:hyperlink r:id="rId10" w:anchor="Par3150" w:history="1">
        <w:r w:rsidRPr="004B59CC">
          <w:rPr>
            <w:rStyle w:val="a4"/>
          </w:rPr>
          <w:t>(ф. 0503760)</w:t>
        </w:r>
      </w:hyperlink>
      <w:r w:rsidRPr="004B59CC">
        <w:rPr>
          <w:rFonts w:ascii="Times New Roman" w:hAnsi="Times New Roman"/>
          <w:sz w:val="24"/>
          <w:szCs w:val="24"/>
        </w:rPr>
        <w:t xml:space="preserve"> в т.ч. </w:t>
      </w:r>
      <w:proofErr w:type="spellStart"/>
      <w:proofErr w:type="gramStart"/>
      <w:r w:rsidRPr="004B59CC">
        <w:rPr>
          <w:rFonts w:ascii="Times New Roman" w:hAnsi="Times New Roman"/>
          <w:sz w:val="24"/>
          <w:szCs w:val="24"/>
        </w:rPr>
        <w:t>табл</w:t>
      </w:r>
      <w:proofErr w:type="spellEnd"/>
      <w:proofErr w:type="gramEnd"/>
      <w:r w:rsidRPr="004B59CC">
        <w:rPr>
          <w:rFonts w:ascii="Times New Roman" w:hAnsi="Times New Roman"/>
          <w:sz w:val="24"/>
          <w:szCs w:val="24"/>
        </w:rPr>
        <w:t xml:space="preserve"> .1,4,5,6,7 и ф.0503761-ф.0503779.</w:t>
      </w:r>
    </w:p>
    <w:p w:rsidR="00360575" w:rsidRPr="004B59CC" w:rsidRDefault="00360575" w:rsidP="00360575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В нарушение приказа Минфина РФ № 33  в финансовый отдел администрации </w:t>
      </w:r>
      <w:proofErr w:type="spellStart"/>
      <w:r w:rsidRPr="004B59CC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района в составе бухгалтерской отчетности не были представлены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Справка по консолидируемым расчетам учреждения </w:t>
      </w:r>
      <w:hyperlink r:id="rId11" w:anchor="Par1534" w:history="1">
        <w:r w:rsidRPr="004B59CC">
          <w:rPr>
            <w:rStyle w:val="a4"/>
          </w:rPr>
          <w:t>(ф. 0503725)</w:t>
        </w:r>
      </w:hyperlink>
      <w:r w:rsidRPr="004B59CC">
        <w:rPr>
          <w:rFonts w:ascii="Times New Roman" w:hAnsi="Times New Roman"/>
          <w:sz w:val="24"/>
          <w:szCs w:val="24"/>
        </w:rPr>
        <w:t>;</w:t>
      </w:r>
    </w:p>
    <w:p w:rsidR="00360575" w:rsidRPr="004B59CC" w:rsidRDefault="00360575" w:rsidP="00360575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Отчет о принятых учреждением обязательствах </w:t>
      </w:r>
      <w:hyperlink r:id="rId12" w:anchor="Par3063" w:history="1">
        <w:r w:rsidRPr="004B59CC">
          <w:rPr>
            <w:rStyle w:val="a4"/>
          </w:rPr>
          <w:t>(ф. 0503738)</w:t>
        </w:r>
      </w:hyperlink>
      <w:r w:rsidRPr="004B59CC">
        <w:rPr>
          <w:rFonts w:ascii="Times New Roman" w:hAnsi="Times New Roman"/>
          <w:sz w:val="24"/>
          <w:szCs w:val="24"/>
        </w:rPr>
        <w:t>;</w:t>
      </w:r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Справка по заключению учреждением счетов бухгалтерского учета отчетного финансового года </w:t>
      </w:r>
      <w:hyperlink r:id="rId13" w:anchor="Par964" w:history="1">
        <w:r w:rsidRPr="004B59CC">
          <w:rPr>
            <w:rStyle w:val="a4"/>
          </w:rPr>
          <w:t>(ф. 0503710)</w:t>
        </w:r>
      </w:hyperlink>
      <w:r w:rsidRPr="004B59CC">
        <w:rPr>
          <w:rFonts w:ascii="Times New Roman" w:hAnsi="Times New Roman"/>
          <w:sz w:val="24"/>
          <w:szCs w:val="24"/>
        </w:rPr>
        <w:t>;</w:t>
      </w:r>
    </w:p>
    <w:p w:rsidR="00360575" w:rsidRPr="004B59CC" w:rsidRDefault="00360575" w:rsidP="00360575">
      <w:pPr>
        <w:pStyle w:val="aa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При проверке степени полноты представленной учреждением культуры  бюджетной отчетности было установлено, что представлено 6 форм из 22-х необходимых.</w:t>
      </w:r>
    </w:p>
    <w:p w:rsidR="00360575" w:rsidRPr="004B59CC" w:rsidRDefault="00360575" w:rsidP="00360575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Согласно ф.0503730 «Баланс государственного (муниципального) учреждения» балансовая стоимость иного движимого имущества на 1 января 2014 года составляла 33502 рублей, но в главной книге учет основных средств ведется по счету 410130 « иное движимое имущество», без отнесения не счет 410134 «машины и оборудование», </w:t>
      </w:r>
      <w:r w:rsidRPr="004B59CC">
        <w:rPr>
          <w:rFonts w:ascii="Times New Roman" w:hAnsi="Times New Roman"/>
          <w:sz w:val="24"/>
          <w:szCs w:val="24"/>
        </w:rPr>
        <w:lastRenderedPageBreak/>
        <w:t>соответственно и амортизацию по данным основным средствам необходимо отражать по счету 410434 , в главной книге учет амортизации ведется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по счету 410430.    Согласно главной книге обороты по счету 410536 «прочие материальные запасы» составили 5053 рублей в  годовой форме  0503721 по стр. 361 «увеличение стоимости материальных запасов» произведено на сумму 5753 рублей, аналогичная сумма отражена в годовой форме 0503768 по стр. 190.  Годовые данные не соответствуют данным главной книги.  В главной книге отсутствует аналитический  учет по расходам. Все расходные операции отражены по счету 140120 «Расходы текущего финансового года». Учет подотчетных сумм осуществляется по счету 420801. Инструкциями 157Н и 174Н такой счет не предусмотрен. При приобретении материальных запасов через подотчетное лицо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подотчетные суммы необходимо учитывать по счету 420834. В журнале «прочие операции» не верно отражена начисленная амортизация  . Необходимо было провести операции по следующим счетам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440120271 и К 410434 на сумму 2551 рублей.  В журнале операция сделана односторонняя по счету 440413 , данный счет не предусмотрен инструкциями. В журнале операций «касса» выдача заработной платы наличными по ведомости оформлена без использования счета 420134 «касса». Денежные средства по счетам казначейства учитываются по счету 420211 – данный счет не предусмотрен инструкцией, средства необходимо учитывать на счете    420111 «Денежные средства на лицевых счетах учреждения в органе казначейства». Поступление субсидии на выполнение муниципального задания необходимо отражать по счетам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420111510 К 420581660 , фактически же бухгалтером сделана проводка Д 440210100 К 440210100. В журнале операций по расчетам с подотчетными лицами, неверно отражены операции при предоставлении авансового отчета на покупку прочих материальных запасов. Данные операции необходимо отражать  по счетам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410536340 К 420834660 . Списание материальных запасов необходимо производить по журналам «прочие операции».  Аналогичные ошибки допущены в учете средств администрации.  </w:t>
      </w:r>
    </w:p>
    <w:p w:rsidR="00360575" w:rsidRPr="004B59CC" w:rsidRDefault="00360575" w:rsidP="00360575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     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бюджета», предоставленного </w:t>
      </w:r>
      <w:proofErr w:type="spellStart"/>
      <w:r w:rsidRPr="004B59CC">
        <w:rPr>
          <w:rFonts w:ascii="Times New Roman" w:hAnsi="Times New Roman"/>
          <w:sz w:val="24"/>
          <w:szCs w:val="24"/>
        </w:rPr>
        <w:t>Троснянским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отделом  Федерального казначейства по Орловской области, также с показателями  отраженными в отчете «О состоянии лицевого счета получателя». Расхождений не выявлено.</w:t>
      </w:r>
    </w:p>
    <w:p w:rsidR="00360575" w:rsidRPr="004B59CC" w:rsidRDefault="00360575" w:rsidP="0036057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          Согласно Инструкции 33-Н при составлении ф. 0503737 гр.4 «Отчет об исполнении учреждением плана его финансово-хозяйственной деятельности»</w:t>
      </w:r>
      <w:r w:rsidRPr="004B59CC">
        <w:rPr>
          <w:rFonts w:ascii="Times New Roman" w:hAnsi="Times New Roman"/>
          <w:b/>
          <w:sz w:val="24"/>
          <w:szCs w:val="24"/>
        </w:rPr>
        <w:t xml:space="preserve"> </w:t>
      </w:r>
      <w:r w:rsidRPr="004B59CC">
        <w:rPr>
          <w:rFonts w:ascii="Times New Roman" w:hAnsi="Times New Roman"/>
          <w:sz w:val="24"/>
          <w:szCs w:val="24"/>
        </w:rPr>
        <w:t xml:space="preserve">показатели должны отражаться на основании данных по соответствующим счетам аналитического учета счета 050410000" Сметные (плановые) назначения  текущего финансового года"(050410200, 0 504 10 300, 0 504 10 500, 0 504 10 800). При проведении проверки финансово-хозяйственной деятельности МБУК СКО было установлено, что учет плановых назначений не ведется. Графа 5 должна заполняться на основании аналитических данных по видам доходов, отраженных на </w:t>
      </w:r>
      <w:proofErr w:type="spellStart"/>
      <w:r w:rsidRPr="004B59CC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счетах 17 "Поступления денежных средств на счета учреждения", открытых к счетам: 020111000"Денежные средства учреждения на счетах в органе казначейства".                                            </w:t>
      </w:r>
    </w:p>
    <w:p w:rsidR="00360575" w:rsidRPr="004B59CC" w:rsidRDefault="00360575" w:rsidP="00360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4B59CC">
        <w:rPr>
          <w:rFonts w:ascii="Times New Roman" w:hAnsi="Times New Roman"/>
          <w:sz w:val="24"/>
          <w:szCs w:val="24"/>
        </w:rPr>
        <w:t xml:space="preserve">Проектом приказа Минфина о внесении изменений в Инструкцию N 157н установлено, что земельные участки, используемые учреждениями на праве постоянного (бессрочного) пользования (в том числе расположенные под объектами недвижимости), учитываются на </w:t>
      </w:r>
      <w:proofErr w:type="spellStart"/>
      <w:r w:rsidRPr="004B59CC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счете 01 на основании документа (свидетельства), подтверждающего право пользования земельным участком, по их кадастровой стоимости.</w:t>
      </w:r>
      <w:proofErr w:type="gramEnd"/>
      <w:r w:rsidRPr="004B59CC">
        <w:rPr>
          <w:rFonts w:ascii="Times New Roman" w:hAnsi="Times New Roman"/>
          <w:sz w:val="24"/>
          <w:szCs w:val="24"/>
        </w:rPr>
        <w:t xml:space="preserve"> Учетные записи на </w:t>
      </w:r>
      <w:proofErr w:type="spellStart"/>
      <w:r w:rsidRPr="004B59CC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4B59CC">
        <w:rPr>
          <w:rFonts w:ascii="Times New Roman" w:hAnsi="Times New Roman"/>
          <w:sz w:val="24"/>
          <w:szCs w:val="24"/>
        </w:rPr>
        <w:t xml:space="preserve"> счете 01 отсутствуют.</w:t>
      </w:r>
    </w:p>
    <w:p w:rsidR="00360575" w:rsidRPr="004B59CC" w:rsidRDefault="00360575" w:rsidP="00360575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CC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обязательствах, принятых учреждением </w:t>
      </w:r>
      <w:hyperlink r:id="rId14" w:history="1">
        <w:r w:rsidRPr="004B59CC">
          <w:rPr>
            <w:rStyle w:val="a4"/>
          </w:rPr>
          <w:t>(ф. 0503738)</w:t>
        </w:r>
      </w:hyperlink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должен быть составлен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расходов, сформированных в отчетном финансовом году, на соответствующие счета аналитического учета счета 0 500 00 000 "Санкционирование </w:t>
      </w:r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расходов" (</w:t>
      </w:r>
      <w:hyperlink r:id="rId15" w:history="1">
        <w:r w:rsidRPr="004B59CC">
          <w:rPr>
            <w:rStyle w:val="a4"/>
          </w:rPr>
          <w:t>п. 47</w:t>
        </w:r>
      </w:hyperlink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33н).</w:t>
      </w:r>
      <w:proofErr w:type="gramEnd"/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об обязательствах, принятых учреждением  составлен не был.</w:t>
      </w:r>
    </w:p>
    <w:p w:rsidR="00360575" w:rsidRPr="004B59CC" w:rsidRDefault="00360575" w:rsidP="00360575">
      <w:pPr>
        <w:pStyle w:val="a8"/>
        <w:jc w:val="both"/>
        <w:rPr>
          <w:rFonts w:ascii="Times New Roman" w:eastAsia="Calibri" w:hAnsi="Times New Roman"/>
          <w:sz w:val="24"/>
          <w:szCs w:val="24"/>
        </w:rPr>
      </w:pPr>
      <w:r w:rsidRPr="004B59CC">
        <w:rPr>
          <w:rFonts w:ascii="Times New Roman" w:hAnsi="Times New Roman"/>
          <w:sz w:val="24"/>
          <w:szCs w:val="24"/>
        </w:rPr>
        <w:t xml:space="preserve">         Согласно</w:t>
      </w:r>
      <w:r w:rsidR="00AC390A">
        <w:rPr>
          <w:rFonts w:ascii="Times New Roman" w:hAnsi="Times New Roman"/>
          <w:sz w:val="24"/>
          <w:szCs w:val="24"/>
        </w:rPr>
        <w:t xml:space="preserve"> п.6 ст.9.2 </w:t>
      </w:r>
      <w:r w:rsidRPr="004B59CC">
        <w:rPr>
          <w:rFonts w:ascii="Times New Roman" w:hAnsi="Times New Roman"/>
          <w:sz w:val="24"/>
          <w:szCs w:val="24"/>
        </w:rPr>
        <w:t xml:space="preserve">Федерального закона от 12.01.1996 N 7-ФЗ "О некоммерческих организациях" (далее - Закон N 7-ФЗ) финансовое обеспечение выполнения бюджетным учреждением государственного (муниципального) задания осуществляется в виде субсидий из соответствующего бюджета бюджетной системы РФ. Такие субсидии предоставляются в соответствии с абзацем первым </w:t>
      </w:r>
      <w:r w:rsidR="00AC390A">
        <w:rPr>
          <w:rFonts w:ascii="Times New Roman" w:hAnsi="Times New Roman"/>
          <w:sz w:val="24"/>
          <w:szCs w:val="24"/>
        </w:rPr>
        <w:t>п.1 ст.78.1</w:t>
      </w:r>
      <w:r w:rsidRPr="004B59CC">
        <w:rPr>
          <w:rFonts w:ascii="Times New Roman" w:hAnsi="Times New Roman"/>
          <w:sz w:val="24"/>
          <w:szCs w:val="24"/>
        </w:rPr>
        <w:t xml:space="preserve"> БК РФ.</w:t>
      </w:r>
    </w:p>
    <w:p w:rsidR="00360575" w:rsidRPr="004B59CC" w:rsidRDefault="00360575" w:rsidP="00360575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>Согласно прямому требованию абзаца первого</w:t>
      </w:r>
      <w:r w:rsidR="00AC390A">
        <w:rPr>
          <w:rFonts w:ascii="Times New Roman" w:eastAsia="Times New Roman" w:hAnsi="Times New Roman"/>
          <w:sz w:val="24"/>
          <w:szCs w:val="24"/>
          <w:lang w:eastAsia="ru-RU"/>
        </w:rPr>
        <w:t xml:space="preserve"> п.1 ст.78.1 Б</w:t>
      </w:r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>К РФ размер субсидии, предоставляемой бюджетным учреждениям, рассчитывается на основании:</w:t>
      </w:r>
    </w:p>
    <w:p w:rsidR="00360575" w:rsidRPr="004B59CC" w:rsidRDefault="00360575" w:rsidP="00360575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оказание государственных (муниципальных) услуг;</w:t>
      </w:r>
    </w:p>
    <w:p w:rsidR="00360575" w:rsidRPr="004B59CC" w:rsidRDefault="00360575" w:rsidP="00360575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CC"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содержание определенных видов имущества.</w:t>
      </w:r>
    </w:p>
    <w:p w:rsidR="00360575" w:rsidRPr="004B59CC" w:rsidRDefault="00360575" w:rsidP="00360575">
      <w:pPr>
        <w:pStyle w:val="a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B59CC">
        <w:rPr>
          <w:rFonts w:ascii="Times New Roman" w:hAnsi="Times New Roman"/>
          <w:color w:val="000000"/>
          <w:sz w:val="24"/>
          <w:szCs w:val="24"/>
        </w:rPr>
        <w:t xml:space="preserve">Положения Инструкции, утвержденной </w:t>
      </w:r>
      <w:r w:rsidR="00AC390A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r w:rsidRPr="004B59CC">
        <w:rPr>
          <w:rFonts w:ascii="Times New Roman" w:hAnsi="Times New Roman"/>
          <w:color w:val="000000"/>
          <w:sz w:val="24"/>
          <w:szCs w:val="24"/>
        </w:rPr>
        <w:t>Минфина России от 16.12.2010 N 174н (далее - Инструкция N 174н), предусматривают следующий порядок учета затрат</w:t>
      </w:r>
      <w:proofErr w:type="gramStart"/>
      <w:r w:rsidRPr="004B59C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B59CC">
        <w:rPr>
          <w:rFonts w:ascii="Times New Roman" w:hAnsi="Times New Roman"/>
          <w:color w:val="000000"/>
          <w:sz w:val="24"/>
          <w:szCs w:val="24"/>
        </w:rPr>
        <w:t xml:space="preserve"> осуществляемых по виду финансового обеспечения "4":</w:t>
      </w:r>
    </w:p>
    <w:p w:rsidR="00360575" w:rsidRPr="004B59CC" w:rsidRDefault="00360575" w:rsidP="0036057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4B59CC">
        <w:rPr>
          <w:lang w:eastAsia="ru-RU"/>
        </w:rPr>
        <w:t>1</w:t>
      </w:r>
      <w:r w:rsidRPr="004B59CC">
        <w:rPr>
          <w:rFonts w:ascii="Times New Roman" w:hAnsi="Times New Roman"/>
          <w:sz w:val="24"/>
          <w:szCs w:val="24"/>
          <w:lang w:eastAsia="ru-RU"/>
        </w:rPr>
        <w:t>) списание в дебет счета 4 109 00 000  - в части расходов, учитываемых при расчете нормативных затрат на оказание государственных (муниципальных) услуг (п.п. 60, 61 Инструкции N 174н);</w:t>
      </w:r>
    </w:p>
    <w:p w:rsidR="00360575" w:rsidRPr="004B59CC" w:rsidRDefault="00360575" w:rsidP="00360575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4B59CC">
        <w:rPr>
          <w:rFonts w:ascii="Times New Roman" w:hAnsi="Times New Roman"/>
          <w:sz w:val="24"/>
          <w:szCs w:val="24"/>
          <w:lang w:eastAsia="ru-RU"/>
        </w:rPr>
        <w:t>2) списание в дебет счета 4 401 20 000 - в части расходов, учитываемых при определении нормативных затрат на содержание имущества (абзац четвертый п. 153 Инструкции N 174н). Расчет себестоимости услуг в рамках муниципального задания в МБУК СКО не ведется.</w:t>
      </w:r>
    </w:p>
    <w:p w:rsidR="004B59CC" w:rsidRPr="00E11281" w:rsidRDefault="00360575" w:rsidP="004B59CC">
      <w:pPr>
        <w:pStyle w:val="a8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4F0C75">
        <w:rPr>
          <w:rFonts w:ascii="Times New Roman" w:hAnsi="Times New Roman"/>
          <w:sz w:val="28"/>
          <w:szCs w:val="28"/>
        </w:rPr>
        <w:t xml:space="preserve">       </w:t>
      </w:r>
      <w:r w:rsidR="004B59CC" w:rsidRPr="004F0C75">
        <w:rPr>
          <w:rFonts w:ascii="Times New Roman" w:hAnsi="Times New Roman" w:cs="Times New Roman"/>
          <w:sz w:val="24"/>
          <w:szCs w:val="24"/>
        </w:rPr>
        <w:t>Данные</w:t>
      </w:r>
      <w:r w:rsidR="004B59CC" w:rsidRPr="00E11281">
        <w:rPr>
          <w:rFonts w:ascii="Times New Roman" w:hAnsi="Times New Roman" w:cs="Times New Roman"/>
          <w:sz w:val="24"/>
          <w:szCs w:val="24"/>
        </w:rPr>
        <w:t xml:space="preserve"> бюджетной отчётности включены в проект решения</w:t>
      </w:r>
      <w:r w:rsidR="004B59CC" w:rsidRPr="00E11281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="004B59CC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4B59CC" w:rsidRPr="00E11281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4B59CC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4B59CC" w:rsidRPr="00E11281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4B59CC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4B59CC" w:rsidRPr="00E11281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4B59CC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4B59CC" w:rsidRPr="00E11281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4B59CC" w:rsidRPr="00E11281">
        <w:rPr>
          <w:rFonts w:ascii="Times New Roman" w:hAnsi="Times New Roman" w:cs="Times New Roman"/>
          <w:sz w:val="24"/>
          <w:szCs w:val="24"/>
        </w:rPr>
        <w:t xml:space="preserve"> </w:t>
      </w:r>
      <w:r w:rsidR="004B59CC" w:rsidRPr="00E11281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4B59CC" w:rsidRPr="00E11281">
        <w:rPr>
          <w:rFonts w:ascii="Times New Roman" w:hAnsi="Times New Roman" w:cs="Times New Roman"/>
          <w:sz w:val="24"/>
          <w:szCs w:val="24"/>
        </w:rPr>
        <w:t xml:space="preserve"> за 2013 год, проект решения об исполнении бюджета </w:t>
      </w:r>
      <w:proofErr w:type="spellStart"/>
      <w:r w:rsidR="004B59CC" w:rsidRPr="00E11281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4B59CC" w:rsidRPr="00E11281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 неправильно, допущены неточности при составлении приложений к решению сессии. </w:t>
      </w:r>
    </w:p>
    <w:p w:rsidR="004B59CC" w:rsidRPr="007F23EB" w:rsidRDefault="004B59CC" w:rsidP="004B59CC">
      <w:pPr>
        <w:pStyle w:val="a8"/>
        <w:jc w:val="both"/>
        <w:rPr>
          <w:rFonts w:ascii="Times New Roman" w:hAnsi="Times New Roman"/>
          <w:b/>
          <w:iCs/>
          <w:highlight w:val="yellow"/>
        </w:rPr>
      </w:pPr>
    </w:p>
    <w:p w:rsidR="00360575" w:rsidRPr="007F23EB" w:rsidRDefault="00360575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784C" w:rsidRPr="00A327BE" w:rsidRDefault="0049784C" w:rsidP="002D229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7BE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49784C" w:rsidRPr="00A327BE" w:rsidRDefault="00D61F55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165CF7" w:rsidRPr="00A327BE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8142CB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proofErr w:type="spellStart"/>
      <w:r w:rsidR="00165CF7" w:rsidRPr="00A327BE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165CF7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A327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27246B" w:rsidRPr="00A327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>62,9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 w:rsidR="0027246B" w:rsidRPr="00A327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7BE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62,9 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A32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4F0C75" w:rsidRDefault="00067FB8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proofErr w:type="spellStart"/>
      <w:r w:rsidR="00165CF7" w:rsidRPr="004F0C75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43217E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>в решение о    бюджете </w:t>
      </w:r>
      <w:r w:rsidRPr="004F0C75">
        <w:rPr>
          <w:rFonts w:ascii="Times New Roman" w:hAnsi="Times New Roman" w:cs="Times New Roman"/>
          <w:sz w:val="24"/>
          <w:szCs w:val="24"/>
          <w:lang w:eastAsia="ru-RU"/>
        </w:rPr>
        <w:t>в течение 201</w:t>
      </w:r>
      <w:r w:rsidR="00A327BE" w:rsidRPr="004F0C7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>  внесен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="00F32E0D" w:rsidRPr="004F0C7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r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0C75">
        <w:rPr>
          <w:rFonts w:ascii="Times New Roman" w:hAnsi="Times New Roman" w:cs="Times New Roman"/>
          <w:sz w:val="24"/>
          <w:szCs w:val="24"/>
        </w:rPr>
        <w:t>Поправки в бюджет 201</w:t>
      </w:r>
      <w:r w:rsidR="004F0C75" w:rsidRPr="004F0C75">
        <w:rPr>
          <w:rFonts w:ascii="Times New Roman" w:hAnsi="Times New Roman" w:cs="Times New Roman"/>
          <w:sz w:val="24"/>
          <w:szCs w:val="24"/>
        </w:rPr>
        <w:t>3</w:t>
      </w:r>
      <w:r w:rsidRPr="004F0C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0C75" w:rsidRPr="004F0C75">
        <w:rPr>
          <w:rFonts w:ascii="Times New Roman" w:hAnsi="Times New Roman" w:cs="Times New Roman"/>
          <w:sz w:val="24"/>
          <w:szCs w:val="24"/>
        </w:rPr>
        <w:t xml:space="preserve"> вносились несвоевременно.</w:t>
      </w:r>
      <w:r w:rsidRPr="004F0C75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 поправок 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доходы местного  бюджета  были утверждены в сумме </w:t>
      </w:r>
      <w:r w:rsidR="0027246B" w:rsidRPr="004F0C7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352,2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43217E" w:rsidRPr="004F0C7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368,2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2512ED" w:rsidRPr="004F0C75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фицит составил 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6,7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 процент</w:t>
      </w:r>
      <w:r w:rsidR="0027246B" w:rsidRPr="004F0C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 годового  объёма доходов</w:t>
      </w:r>
      <w:r w:rsidR="0049784C" w:rsidRPr="004F0C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>без учёта утвержденного объёма безвозмездных поступлений (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1114,9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A4D" w:rsidRPr="004F0C7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оходная часть  увеличена на 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89,3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>тыс. рублей (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6,7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плану):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собственные доходы были </w:t>
      </w:r>
      <w:r w:rsidR="00283723" w:rsidRPr="004F0C7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>величены</w:t>
      </w:r>
      <w:r w:rsidR="00283723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76,8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1E5FFF" w:rsidRPr="004F0C7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F0C75" w:rsidRPr="004F0C75">
        <w:rPr>
          <w:rFonts w:ascii="Times New Roman" w:hAnsi="Times New Roman" w:cs="Times New Roman"/>
          <w:sz w:val="24"/>
          <w:szCs w:val="24"/>
          <w:lang w:eastAsia="ru-RU"/>
        </w:rPr>
        <w:t>12,5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F0C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4F0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732A9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  Исполнение общих показателей местного бюджета за </w:t>
      </w:r>
      <w:r w:rsidR="001E5FFF"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732A96" w:rsidRPr="00732A9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5FFF" w:rsidRPr="00732A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32A9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732A96" w:rsidRPr="00732A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1E5FFF" w:rsidRPr="00732A9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732A9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Таблица 1 </w:t>
      </w:r>
    </w:p>
    <w:p w:rsidR="0049784C" w:rsidRPr="00732A9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996"/>
        <w:gridCol w:w="993"/>
        <w:gridCol w:w="706"/>
        <w:gridCol w:w="1135"/>
        <w:gridCol w:w="1087"/>
        <w:gridCol w:w="1001"/>
        <w:gridCol w:w="588"/>
        <w:gridCol w:w="1104"/>
        <w:gridCol w:w="859"/>
      </w:tblGrid>
      <w:tr w:rsidR="0049784C" w:rsidRPr="00732A96" w:rsidTr="00732A96"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32A96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0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32A96" w:rsidRDefault="0049784C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A96"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018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32A96" w:rsidRDefault="0049784C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2A96"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32A96" w:rsidRPr="00732A96" w:rsidTr="00732A96">
        <w:tc>
          <w:tcPr>
            <w:tcW w:w="5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бюджет 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</w:t>
            </w:r>
          </w:p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732A96" w:rsidRPr="00732A96" w:rsidTr="00732A96">
        <w:tc>
          <w:tcPr>
            <w:tcW w:w="5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исполнения за 2012 г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732A96" w:rsidRPr="00732A96" w:rsidTr="00732A96">
        <w:tc>
          <w:tcPr>
            <w:tcW w:w="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A327BE" w:rsidP="001E5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A327B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C235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56144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EB3D5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EB3D56" w:rsidP="009833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+8,9</w:t>
            </w:r>
          </w:p>
        </w:tc>
      </w:tr>
      <w:tr w:rsidR="00732A96" w:rsidRPr="00732A96" w:rsidTr="00732A96">
        <w:tc>
          <w:tcPr>
            <w:tcW w:w="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A327BE" w:rsidP="001E5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A327B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561440" w:rsidP="003257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EB3D56" w:rsidP="00EB3D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+83,3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EB3D5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A96" w:rsidRPr="007F23EB" w:rsidTr="00732A96">
        <w:tc>
          <w:tcPr>
            <w:tcW w:w="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A327B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EB3D56" w:rsidP="00EB3D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EB3D5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EB3D5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5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C0B5A"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EB3D56">
        <w:rPr>
          <w:rFonts w:ascii="Times New Roman" w:hAnsi="Times New Roman" w:cs="Times New Roman"/>
          <w:sz w:val="24"/>
          <w:szCs w:val="24"/>
          <w:lang w:eastAsia="ru-RU"/>
        </w:rPr>
        <w:t>Исполнение  местного   бюджета  по доходам согласно  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тчёту  составило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1361,1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7246B" w:rsidRPr="00EB3D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14,9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1368,2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фицит  –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7,1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7246B" w:rsidRPr="00EB3D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784C" w:rsidRPr="00EB3D5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56">
        <w:rPr>
          <w:rFonts w:ascii="Times New Roman" w:hAnsi="Times New Roman" w:cs="Times New Roman"/>
          <w:sz w:val="24"/>
          <w:szCs w:val="24"/>
          <w:lang w:eastAsia="ru-RU"/>
        </w:rPr>
        <w:t>         При  исполнении  местного  бюджета  в 201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доходная часть местного   бюджета  у</w:t>
      </w:r>
      <w:r w:rsidR="00EC0B5A" w:rsidRPr="00EB3D56">
        <w:rPr>
          <w:rFonts w:ascii="Times New Roman" w:hAnsi="Times New Roman" w:cs="Times New Roman"/>
          <w:sz w:val="24"/>
          <w:szCs w:val="24"/>
          <w:lang w:eastAsia="ru-RU"/>
        </w:rPr>
        <w:t>величилась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EB3D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63,8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EB3D5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при запланированном дефиците  бюджета  в сумме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фактически местный  бюджет  исполнен с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дефицитом 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EB3D56" w:rsidRPr="00EB3D56">
        <w:rPr>
          <w:rFonts w:ascii="Times New Roman" w:hAnsi="Times New Roman" w:cs="Times New Roman"/>
          <w:sz w:val="24"/>
          <w:szCs w:val="24"/>
          <w:lang w:eastAsia="ru-RU"/>
        </w:rPr>
        <w:t>7,1</w:t>
      </w:r>
      <w:r w:rsidRPr="00EB3D5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784C" w:rsidRPr="00EB3D56" w:rsidRDefault="0049784C" w:rsidP="00EC0B5A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B3D5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</w:t>
      </w:r>
    </w:p>
    <w:p w:rsidR="0049784C" w:rsidRPr="00723D4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C0B5A"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местного  бюджета  по доходам составило 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B3D56" w:rsidRPr="00723D4D">
        <w:rPr>
          <w:rFonts w:ascii="Times New Roman" w:hAnsi="Times New Roman" w:cs="Times New Roman"/>
          <w:sz w:val="24"/>
          <w:szCs w:val="24"/>
          <w:lang w:eastAsia="ru-RU"/>
        </w:rPr>
        <w:t>361,1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B3D56" w:rsidRPr="00723D4D">
        <w:rPr>
          <w:rFonts w:ascii="Times New Roman" w:hAnsi="Times New Roman" w:cs="Times New Roman"/>
          <w:sz w:val="24"/>
          <w:szCs w:val="24"/>
          <w:lang w:eastAsia="ru-RU"/>
        </w:rPr>
        <w:t>0,6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257B3" w:rsidRPr="00723D4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в том числе: </w:t>
      </w:r>
    </w:p>
    <w:p w:rsidR="0049784C" w:rsidRPr="00723D4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4D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246,2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3,7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257B3" w:rsidRPr="00723D4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перевыполнение плановых показателей составило 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8,9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723D4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114,9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723D4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723D4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4D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804DF9" w:rsidRPr="00723D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4,9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3,2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27246B" w:rsidRPr="00723D4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23D4D" w:rsidRPr="00723D4D">
        <w:rPr>
          <w:rFonts w:ascii="Times New Roman" w:hAnsi="Times New Roman" w:cs="Times New Roman"/>
          <w:sz w:val="24"/>
          <w:szCs w:val="24"/>
          <w:lang w:eastAsia="ru-RU"/>
        </w:rPr>
        <w:t>1,9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723D4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23D4D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732A9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074355" w:rsidRDefault="0049784C" w:rsidP="0007435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proofErr w:type="spellStart"/>
      <w:r w:rsidR="00165CF7" w:rsidRPr="00732A96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3A4AB9"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732A96" w:rsidRDefault="0049784C" w:rsidP="0007435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717149" w:rsidRPr="00732A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A96" w:rsidRPr="00732A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32A9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732A96" w:rsidRPr="00732A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 годах</w:t>
      </w:r>
    </w:p>
    <w:p w:rsidR="0049784C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p w:rsidR="00DF2264" w:rsidRDefault="00DF2264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1061"/>
        <w:gridCol w:w="1055"/>
        <w:gridCol w:w="888"/>
        <w:gridCol w:w="896"/>
        <w:gridCol w:w="948"/>
        <w:gridCol w:w="948"/>
        <w:gridCol w:w="817"/>
        <w:gridCol w:w="708"/>
        <w:gridCol w:w="817"/>
      </w:tblGrid>
      <w:tr w:rsidR="007E6254" w:rsidRPr="00732A96" w:rsidTr="007E6254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7149"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A96"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2A96"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732A96" w:rsidRDefault="007E6254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2A96"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732A96" w:rsidTr="004316A0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732A96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732A96" w:rsidRPr="00732A96" w:rsidTr="004316A0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32A96" w:rsidRPr="00732A96" w:rsidTr="004316A0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732A96" w:rsidRPr="00732A96" w:rsidTr="004316A0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732A96" w:rsidRPr="00732A96" w:rsidTr="004316A0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74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тупления</w:t>
            </w:r>
            <w:proofErr w:type="spellEnd"/>
            <w:proofErr w:type="gram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96" w:rsidRPr="00732A96" w:rsidTr="004316A0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</w:t>
            </w:r>
            <w:proofErr w:type="spellStart"/>
            <w:proofErr w:type="gramStart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</w:t>
            </w:r>
            <w:r w:rsidR="00074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нивание</w:t>
            </w:r>
            <w:proofErr w:type="spellEnd"/>
            <w:proofErr w:type="gram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бюджетной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624,4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D53BAF" w:rsidP="00170EF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96" w:rsidRPr="00732A96" w:rsidTr="004316A0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E2A34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96" w:rsidRPr="00732A96" w:rsidTr="004316A0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A96" w:rsidRPr="00732A96" w:rsidTr="004316A0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96" w:rsidRPr="00732A96" w:rsidTr="004316A0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</w:t>
            </w:r>
            <w:proofErr w:type="spellStart"/>
            <w:proofErr w:type="gramStart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меж-бюджетные</w:t>
            </w:r>
            <w:proofErr w:type="spellEnd"/>
            <w:proofErr w:type="gramEnd"/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96" w:rsidRPr="00732A96" w:rsidTr="004316A0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732A96" w:rsidP="00732A9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1352,2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D53BAF" w:rsidP="00D53BA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4316A0" w:rsidP="001849C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96" w:rsidRPr="00732A96" w:rsidRDefault="009575A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</w:tbl>
    <w:p w:rsidR="0049784C" w:rsidRPr="00732A9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A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CD012E" w:rsidRPr="009575A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5AD">
        <w:rPr>
          <w:rFonts w:ascii="Times New Roman" w:hAnsi="Times New Roman" w:cs="Times New Roman"/>
          <w:sz w:val="24"/>
          <w:szCs w:val="24"/>
          <w:lang w:eastAsia="ru-RU"/>
        </w:rPr>
        <w:t>       Представленные в таблице 2 данные свидетельствуют о том, что в 20</w:t>
      </w:r>
      <w:r w:rsidR="000664E0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9575A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372789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>рост собственных доходов,   доля которых,  в структуре общих доходов, состав</w:t>
      </w:r>
      <w:r w:rsidR="000664E0" w:rsidRPr="009575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9575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690D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5,7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%, по сравнению с 20</w:t>
      </w:r>
      <w:r w:rsidR="0062690D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составля</w:t>
      </w:r>
      <w:r w:rsidR="0062690D" w:rsidRPr="009575AD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789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2690D" w:rsidRPr="009575AD">
        <w:rPr>
          <w:rFonts w:ascii="Times New Roman" w:hAnsi="Times New Roman" w:cs="Times New Roman"/>
          <w:sz w:val="24"/>
          <w:szCs w:val="24"/>
          <w:lang w:eastAsia="ru-RU"/>
        </w:rPr>
        <w:t>6,6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%).  В 201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собственных доходов в общей структуре доходов </w:t>
      </w:r>
      <w:r w:rsidR="0062690D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372789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8,1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%., что свидетельствует о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положительной 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тенденции 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роста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 собственных доходов  бюджета </w:t>
      </w:r>
      <w:proofErr w:type="spellStart"/>
      <w:r w:rsidR="00165CF7" w:rsidRPr="009575AD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CD012E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575A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5AD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2690D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оду </w:t>
      </w:r>
      <w:r w:rsidR="00372789" w:rsidRPr="009575A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1,9</w:t>
      </w:r>
      <w:r w:rsidR="00CD012E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575AD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834368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году –</w:t>
      </w:r>
      <w:r w:rsidR="00834368" w:rsidRPr="009575A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8,4 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957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372789" w:rsidRPr="009575A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575AD" w:rsidRPr="009575AD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="00372789"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9301A1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5A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991415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415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49784C" w:rsidRPr="00991415" w:rsidRDefault="0049784C" w:rsidP="0007435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415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proofErr w:type="spellStart"/>
      <w:r w:rsidR="00165CF7" w:rsidRPr="00991415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CD012E" w:rsidRPr="009914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91415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17344B" w:rsidRPr="0099141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91415" w:rsidRPr="0099141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91415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991415" w:rsidRPr="009914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91415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49784C" w:rsidRPr="00991415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41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992"/>
        <w:gridCol w:w="1135"/>
        <w:gridCol w:w="992"/>
        <w:gridCol w:w="993"/>
        <w:gridCol w:w="1131"/>
        <w:gridCol w:w="850"/>
        <w:gridCol w:w="708"/>
        <w:gridCol w:w="819"/>
      </w:tblGrid>
      <w:tr w:rsidR="00330CD8" w:rsidRPr="00991415" w:rsidTr="009D7726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834368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415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991415" w:rsidRDefault="00330CD8" w:rsidP="009914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991415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9914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1415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0CD8" w:rsidRPr="00991415" w:rsidTr="00372789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991415" w:rsidRDefault="00330CD8" w:rsidP="008267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9914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834368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415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267FE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91415" w:rsidRDefault="00330CD8" w:rsidP="009914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991415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267FE"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0CD8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91415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575AD" w:rsidP="0083436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C21A4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</w:tr>
      <w:tr w:rsidR="00991415" w:rsidRPr="00991415" w:rsidTr="00372789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физ.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575A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C21A4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575A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C21A4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9914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C21A4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8267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2A07D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2A07D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2A07D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C21A4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2A07D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15" w:rsidRPr="00991415" w:rsidTr="00372789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C21A4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2A07D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15" w:rsidRPr="00991415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991415" w:rsidP="00FB2F3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23D4D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D53BA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7E2A3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6D5ED7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C21A4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415" w:rsidRPr="00991415" w:rsidRDefault="002A07D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</w:tr>
    </w:tbl>
    <w:p w:rsidR="008267FE" w:rsidRPr="00991415" w:rsidRDefault="008267FE" w:rsidP="00B42520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9784C" w:rsidRPr="00F329B0" w:rsidRDefault="008267FE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29B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</w:t>
      </w:r>
      <w:r w:rsidR="00372789" w:rsidRPr="00F329B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</w:t>
      </w:r>
      <w:r w:rsidR="0049784C" w:rsidRPr="00F329B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алоговые доходы</w:t>
      </w:r>
      <w:r w:rsidR="0049784C" w:rsidRPr="00F329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A17078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proofErr w:type="spellStart"/>
      <w:r w:rsidR="00165CF7" w:rsidRPr="00A17078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5B2447"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C21A48" w:rsidRPr="00A17078">
        <w:rPr>
          <w:rFonts w:ascii="Times New Roman" w:hAnsi="Times New Roman" w:cs="Times New Roman"/>
          <w:sz w:val="24"/>
          <w:szCs w:val="24"/>
          <w:lang w:eastAsia="ru-RU"/>
        </w:rPr>
        <w:t>203,3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C21A48" w:rsidRPr="00A1707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4,7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197,2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9E1829" w:rsidRPr="00A1707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к уровню 20</w:t>
      </w:r>
      <w:r w:rsidR="009E1829" w:rsidRPr="00A170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5B2447"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E1829" w:rsidRPr="00A170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51,4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>   процент</w:t>
      </w:r>
      <w:r w:rsidR="005B2447" w:rsidRPr="00A1707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A170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D42B1" w:rsidRPr="00A17078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Перевыполнение плана </w:t>
      </w:r>
      <w:r w:rsidR="00ED42B1"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поправок в бюджет 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>достигнуто только </w:t>
      </w:r>
      <w:r w:rsidR="00F84215"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налог</w:t>
      </w:r>
      <w:r w:rsidR="00F84215" w:rsidRPr="00A1707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на доходы физических лиц (1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07,9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F84215" w:rsidRPr="00A170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49784C" w:rsidRPr="00A17078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59,3</w:t>
      </w:r>
      <w:r w:rsidR="009E1829"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9E1829" w:rsidRPr="00A1707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,  земельный налог – </w:t>
      </w:r>
      <w:r w:rsidR="00F84215" w:rsidRPr="00A170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8,7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государственная пошлина</w:t>
      </w:r>
      <w:r w:rsidR="009E1829"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="00F84215"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A17078" w:rsidRPr="00A17078">
        <w:rPr>
          <w:rFonts w:ascii="Times New Roman" w:hAnsi="Times New Roman" w:cs="Times New Roman"/>
          <w:sz w:val="24"/>
          <w:szCs w:val="24"/>
          <w:lang w:eastAsia="ru-RU"/>
        </w:rPr>
        <w:t>, единый сельскохозяйственный налог – 4%, налог на имущество физических лиц – 3,6%</w:t>
      </w:r>
      <w:r w:rsidR="00ED42B1" w:rsidRPr="00A170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7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E5545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545">
        <w:rPr>
          <w:rFonts w:ascii="Times New Roman" w:hAnsi="Times New Roman" w:cs="Times New Roman"/>
          <w:sz w:val="24"/>
          <w:szCs w:val="24"/>
          <w:lang w:eastAsia="ru-RU"/>
        </w:rPr>
        <w:t>         В 201</w:t>
      </w:r>
      <w:r w:rsidR="00A17078" w:rsidRPr="00CE554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 поступило на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078" w:rsidRPr="00CE5545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</w:t>
      </w:r>
      <w:r w:rsidR="009E1829" w:rsidRPr="00CE5545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>, чем в 20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7078" w:rsidRPr="00CE55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году. </w:t>
      </w:r>
      <w:r w:rsidR="005C7EE9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Выше 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201</w:t>
      </w:r>
      <w:r w:rsidR="00A17078" w:rsidRPr="00CE55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составили поступления по</w:t>
      </w:r>
      <w:r w:rsidR="005C7EE9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НДФЛ на сумму </w:t>
      </w:r>
      <w:r w:rsidR="00A17078" w:rsidRPr="00CE5545">
        <w:rPr>
          <w:rFonts w:ascii="Times New Roman" w:hAnsi="Times New Roman" w:cs="Times New Roman"/>
          <w:sz w:val="24"/>
          <w:szCs w:val="24"/>
          <w:lang w:eastAsia="ru-RU"/>
        </w:rPr>
        <w:t>33,3</w:t>
      </w:r>
      <w:r w:rsidR="005C7EE9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по 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земельному налогу на </w:t>
      </w:r>
      <w:r w:rsidR="00A17078" w:rsidRPr="00CE5545">
        <w:rPr>
          <w:rFonts w:ascii="Times New Roman" w:hAnsi="Times New Roman" w:cs="Times New Roman"/>
          <w:sz w:val="24"/>
          <w:szCs w:val="24"/>
          <w:lang w:eastAsia="ru-RU"/>
        </w:rPr>
        <w:t>27,2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5C7EE9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налогу на имущество на 7,1 тыс. рублей, 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 по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пошлин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е на </w:t>
      </w:r>
      <w:r w:rsidR="00A777ED" w:rsidRPr="00CE5545">
        <w:rPr>
          <w:rFonts w:ascii="Times New Roman" w:hAnsi="Times New Roman" w:cs="Times New Roman"/>
          <w:sz w:val="24"/>
          <w:szCs w:val="24"/>
          <w:lang w:eastAsia="ru-RU"/>
        </w:rPr>
        <w:t>3,3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proofErr w:type="gramStart"/>
      <w:r w:rsidR="009B7330" w:rsidRPr="00CE55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55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9784C" w:rsidRPr="0044712B" w:rsidRDefault="00074355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="00A777ED"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784C"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Налог на доходы физических лиц. </w:t>
      </w:r>
      <w:r w:rsidR="0049784C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120,6</w:t>
      </w:r>
      <w:r w:rsidR="0049784C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56,6</w:t>
      </w:r>
      <w:r w:rsidR="0049784C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плану и 1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07,9</w:t>
      </w:r>
      <w:r w:rsidR="0049784C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уточнённому плану, перевыполнение  составило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8,8</w:t>
      </w:r>
      <w:r w:rsidR="0049784C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44712B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Земельный налог.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58,4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157,8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44712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0,2</w:t>
      </w:r>
      <w:r w:rsidR="00CC006B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4471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уровнем 20</w:t>
      </w:r>
      <w:r w:rsidR="00CC006B" w:rsidRPr="0044712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поступления у</w:t>
      </w:r>
      <w:r w:rsidR="00A777ED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величилась 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>  на</w:t>
      </w:r>
      <w:r w:rsidR="00A777ED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27,2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F84215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87,2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>  процента</w:t>
      </w:r>
      <w:r w:rsidR="00A777ED" w:rsidRPr="004471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44712B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0743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8,7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. Поступление данного вида налоговых доходов первоначально </w:t>
      </w:r>
      <w:r w:rsidR="00CC006B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в сумме </w:t>
      </w:r>
      <w:r w:rsidR="0044712B" w:rsidRPr="0044712B">
        <w:rPr>
          <w:rFonts w:ascii="Times New Roman" w:hAnsi="Times New Roman" w:cs="Times New Roman"/>
          <w:sz w:val="24"/>
          <w:szCs w:val="24"/>
          <w:lang w:eastAsia="ru-RU"/>
        </w:rPr>
        <w:t>5,5</w:t>
      </w:r>
      <w:r w:rsidR="00CC006B"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84215" w:rsidRPr="004471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712B" w:rsidRPr="0044712B" w:rsidRDefault="0044712B" w:rsidP="004471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  Единый сельскохозяйственный налог.  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8,2 тыс. рублей. Поступление данного вида налоговых доходов первоначально  не запланировано. </w:t>
      </w:r>
    </w:p>
    <w:p w:rsidR="0044712B" w:rsidRPr="0044712B" w:rsidRDefault="0044712B" w:rsidP="004471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1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Налог на имущество физических лиц.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7,4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Поступление данного вида налоговых доходов первоначально запланировано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4712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784C" w:rsidRPr="00F07272" w:rsidRDefault="00F07272" w:rsidP="00F07272">
      <w:pPr>
        <w:pStyle w:val="a8"/>
        <w:tabs>
          <w:tab w:val="left" w:pos="276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727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9784C" w:rsidRPr="00F07272">
        <w:rPr>
          <w:rFonts w:ascii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      </w:t>
      </w:r>
      <w:r w:rsidR="0049784C" w:rsidRPr="00F0727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="0049784C" w:rsidRPr="00F072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DF226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264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165CF7" w:rsidRPr="00DF2264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FF4C32" w:rsidRPr="00DF226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65CF7" w:rsidRPr="00DF2264">
        <w:rPr>
          <w:rFonts w:ascii="Times New Roman" w:hAnsi="Times New Roman" w:cs="Times New Roman"/>
          <w:sz w:val="24"/>
          <w:szCs w:val="24"/>
          <w:lang w:eastAsia="ru-RU"/>
        </w:rPr>
        <w:t>авльского</w:t>
      </w:r>
      <w:proofErr w:type="spellEnd"/>
      <w:r w:rsidR="003E653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исполнен в сумме </w:t>
      </w:r>
      <w:r w:rsidR="00F07272" w:rsidRPr="00DF2264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F07272" w:rsidRPr="00DF2264">
        <w:rPr>
          <w:rFonts w:ascii="Times New Roman" w:hAnsi="Times New Roman" w:cs="Times New Roman"/>
          <w:sz w:val="24"/>
          <w:szCs w:val="24"/>
          <w:lang w:eastAsia="ru-RU"/>
        </w:rPr>
        <w:t>99,5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A777ED" w:rsidRPr="00DF2264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3E653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запланированного объема на </w:t>
      </w:r>
      <w:r w:rsidR="00F07272" w:rsidRPr="00DF226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653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DF226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 В общей сумме неналоговых доходов  доходы от использования имущества, находящегося в муниципальной собственности составляют </w:t>
      </w:r>
      <w:r w:rsidR="00F07272" w:rsidRPr="00DF2264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%,   </w:t>
      </w:r>
      <w:r w:rsidR="003E653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F07272" w:rsidRPr="00DF2264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3E653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07272" w:rsidRPr="00DF2264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DF226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2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</w:t>
      </w:r>
      <w:r w:rsidRPr="00DF226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  </w:t>
      </w:r>
      <w:r w:rsidR="00DF2264" w:rsidRPr="00DF2264">
        <w:rPr>
          <w:rFonts w:ascii="Times New Roman" w:hAnsi="Times New Roman" w:cs="Times New Roman"/>
          <w:sz w:val="24"/>
          <w:szCs w:val="24"/>
          <w:lang w:eastAsia="ru-RU"/>
        </w:rPr>
        <w:t>19,8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  на</w:t>
      </w:r>
      <w:r w:rsidR="004B7521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ECC" w:rsidRPr="00DF2264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DF2264" w:rsidRPr="00DF226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87A2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F2264" w:rsidRPr="00DF2264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="00D87A28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утвержденного плана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4B7521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и доходы от сдачи в аренду муниципального имущества.</w:t>
      </w:r>
    </w:p>
    <w:p w:rsidR="00E0404F" w:rsidRPr="00DF226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26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r w:rsidRPr="00DF2264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DF2264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   </w:t>
      </w:r>
      <w:r w:rsidR="00E0404F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(самообложение)  составили </w:t>
      </w:r>
      <w:r w:rsidR="00DF2264" w:rsidRPr="00DF2264">
        <w:rPr>
          <w:rFonts w:ascii="Times New Roman" w:hAnsi="Times New Roman" w:cs="Times New Roman"/>
          <w:sz w:val="24"/>
          <w:szCs w:val="24"/>
          <w:lang w:eastAsia="ru-RU"/>
        </w:rPr>
        <w:t>23,2</w:t>
      </w:r>
      <w:r w:rsidR="00E0404F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4B7521" w:rsidRPr="00DF22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F2264" w:rsidRPr="00DF2264">
        <w:rPr>
          <w:rFonts w:ascii="Times New Roman" w:hAnsi="Times New Roman" w:cs="Times New Roman"/>
          <w:sz w:val="24"/>
          <w:szCs w:val="24"/>
          <w:lang w:eastAsia="ru-RU"/>
        </w:rPr>
        <w:t>71,9</w:t>
      </w:r>
      <w:r w:rsidR="00E0404F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первоначально запланированной суммы и </w:t>
      </w:r>
      <w:r w:rsidR="00DF2264" w:rsidRPr="00DF2264">
        <w:rPr>
          <w:rFonts w:ascii="Times New Roman" w:hAnsi="Times New Roman" w:cs="Times New Roman"/>
          <w:sz w:val="24"/>
          <w:szCs w:val="24"/>
          <w:lang w:eastAsia="ru-RU"/>
        </w:rPr>
        <w:t>98,7</w:t>
      </w:r>
      <w:r w:rsidR="000F6ECC" w:rsidRPr="00DF22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404F" w:rsidRPr="00DF226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уточненного плана.</w:t>
      </w:r>
    </w:p>
    <w:p w:rsidR="0049784C" w:rsidRPr="00DF226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DF2264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2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 Безвозмездные поступления </w:t>
      </w:r>
    </w:p>
    <w:p w:rsidR="000F6ECC" w:rsidRPr="007F23EB" w:rsidRDefault="000F6EC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9784C" w:rsidRPr="007F5274" w:rsidRDefault="000F6EC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«О  бюджете </w:t>
      </w:r>
      <w:proofErr w:type="spellStart"/>
      <w:r w:rsidR="00165CF7" w:rsidRPr="007F5274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702,4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114,9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12,5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5047A9" w:rsidRPr="007F527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114,9</w:t>
      </w:r>
      <w:r w:rsidR="0049784C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1114,9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D32CC4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72,3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5047A9" w:rsidRPr="007F5274" w:rsidRDefault="005047A9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398,5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30,1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>- ины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межбюджетны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трансферт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предыдущим периодом произошло </w:t>
      </w:r>
      <w:r w:rsidR="001326A2" w:rsidRPr="007F5274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безвозмездных поступлений на 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20,7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Доля безвозмездных поступлений </w:t>
      </w:r>
      <w:r w:rsidR="002F10AB" w:rsidRPr="007F5274">
        <w:rPr>
          <w:rFonts w:ascii="Times New Roman" w:hAnsi="Times New Roman" w:cs="Times New Roman"/>
          <w:sz w:val="24"/>
          <w:szCs w:val="24"/>
          <w:lang w:eastAsia="ru-RU"/>
        </w:rPr>
        <w:t>уменьшилась</w:t>
      </w:r>
      <w:r w:rsidR="001326A2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1326A2" w:rsidRPr="007F527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="001326A2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% до </w:t>
      </w:r>
      <w:r w:rsidR="001326A2" w:rsidRPr="007F527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1,9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%  по сравнению с прошлым годом. 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7F5274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 </w:t>
      </w:r>
      <w:r w:rsidRPr="007F52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3A0A51" w:rsidRPr="007F527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368,2</w:t>
      </w:r>
      <w:r w:rsidR="003A0A51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A0A51" w:rsidRPr="007F5274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A0A51" w:rsidRPr="007F5274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A0A51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разделам.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7F5274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Наибольший удельный вес в структуре расходов занимают разделы  «Культура и кинематография» </w:t>
      </w:r>
      <w:proofErr w:type="gramStart"/>
      <w:r w:rsidRPr="007F527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326A2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40,5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процентов) и «Общегосударственные вопросы» (</w:t>
      </w:r>
      <w:r w:rsidR="001326A2"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5274" w:rsidRPr="007F5274">
        <w:rPr>
          <w:rFonts w:ascii="Times New Roman" w:hAnsi="Times New Roman" w:cs="Times New Roman"/>
          <w:sz w:val="24"/>
          <w:szCs w:val="24"/>
          <w:lang w:eastAsia="ru-RU"/>
        </w:rPr>
        <w:t>54,5</w:t>
      </w:r>
      <w:r w:rsidRPr="007F527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процента) </w:t>
      </w:r>
    </w:p>
    <w:p w:rsidR="0049784C" w:rsidRPr="00F329B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274">
        <w:rPr>
          <w:rFonts w:ascii="Times New Roman" w:hAnsi="Times New Roman" w:cs="Times New Roman"/>
          <w:sz w:val="24"/>
          <w:szCs w:val="24"/>
          <w:lang w:eastAsia="ru-RU"/>
        </w:rPr>
        <w:t>         Анализ</w:t>
      </w:r>
      <w:r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  исполнения  местного   бюджета  за 201</w:t>
      </w:r>
      <w:r w:rsidR="00CB54C9" w:rsidRPr="00F329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F329B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9B0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proofErr w:type="spellStart"/>
      <w:r w:rsidR="00165CF7" w:rsidRPr="00F329B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F1242"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329B0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F329B0" w:rsidRPr="00F329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F329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F329B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9540A"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F329B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269"/>
        <w:gridCol w:w="1725"/>
        <w:gridCol w:w="1135"/>
        <w:gridCol w:w="948"/>
        <w:gridCol w:w="1269"/>
        <w:gridCol w:w="1149"/>
      </w:tblGrid>
      <w:tr w:rsidR="0049784C" w:rsidRPr="00F329B0" w:rsidTr="00165CF7">
        <w:trPr>
          <w:trHeight w:val="187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B9540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общих расходах % </w:t>
            </w:r>
          </w:p>
        </w:tc>
      </w:tr>
      <w:tr w:rsidR="0049784C" w:rsidRPr="00F329B0" w:rsidTr="00B9540A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B9540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F329B0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F329B0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F329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7F23EB" w:rsidP="007F23E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49784C" w:rsidRPr="00F329B0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F329B0" w:rsidRDefault="00F329B0" w:rsidP="00F329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9784C" w:rsidRPr="00F329B0" w:rsidTr="00B9540A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6F1A8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9784C" w:rsidRPr="00F329B0" w:rsidTr="00B9540A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F9129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9784C" w:rsidRPr="00F329B0" w:rsidTr="00B9540A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Культура, кинематография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F329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2C071A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49784C" w:rsidRPr="00F329B0" w:rsidTr="00B9540A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7F23EB" w:rsidTr="00B9540A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F329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2C07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329B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3D" w:rsidRPr="00F329B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5D5DFD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DF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5D5DFD" w:rsidRDefault="00CB54C9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DFD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5D5DFD">
        <w:rPr>
          <w:rFonts w:ascii="Times New Roman" w:hAnsi="Times New Roman" w:cs="Times New Roman"/>
          <w:sz w:val="24"/>
          <w:szCs w:val="24"/>
          <w:lang w:eastAsia="ru-RU"/>
        </w:rPr>
        <w:t> Исполнение  расходов в соответствии с ведомственной структурой местного  бюджета  на 201</w:t>
      </w:r>
      <w:r w:rsidR="005D5DFD" w:rsidRPr="005D5D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5D5DFD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5D5DFD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49784C" w:rsidRPr="005D5DFD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proofErr w:type="spellStart"/>
      <w:r w:rsidR="001326A2" w:rsidRPr="005D5DFD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1A518C" w:rsidRPr="005D5DF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49784C" w:rsidRPr="005D5DF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220E0" w:rsidRDefault="0049784C" w:rsidP="00CB54C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0E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</w:p>
    <w:p w:rsidR="0049784C" w:rsidRPr="00B220E0" w:rsidRDefault="0049784C" w:rsidP="00CB54C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0E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 подразделам функциональной классификации расходов</w:t>
      </w:r>
    </w:p>
    <w:p w:rsidR="0049784C" w:rsidRPr="00B220E0" w:rsidRDefault="0049784C" w:rsidP="00CB54C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0E0">
        <w:rPr>
          <w:rFonts w:ascii="Times New Roman" w:hAnsi="Times New Roman" w:cs="Times New Roman"/>
          <w:b/>
          <w:sz w:val="24"/>
          <w:szCs w:val="24"/>
          <w:lang w:eastAsia="ru-RU"/>
        </w:rPr>
        <w:t>01  «Общегосударственные вопросы»</w:t>
      </w:r>
    </w:p>
    <w:p w:rsidR="0049784C" w:rsidRPr="00B220E0" w:rsidRDefault="00B96A33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9784C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="00B220E0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784C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26A2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20E0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49784C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B220E0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746</w:t>
      </w:r>
      <w:r w:rsidR="0049784C" w:rsidRPr="00B22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49784C" w:rsidRPr="00B220E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0E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49784C" w:rsidRPr="00C174EC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4EC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01 «О</w:t>
      </w:r>
      <w:r w:rsidR="0069017C" w:rsidRPr="00C174EC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Pr="00C174EC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C174EC" w:rsidRDefault="00B96A33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4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9784C" w:rsidRPr="00C174EC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616"/>
        <w:gridCol w:w="569"/>
        <w:gridCol w:w="1371"/>
        <w:gridCol w:w="1487"/>
        <w:gridCol w:w="1457"/>
        <w:gridCol w:w="1462"/>
      </w:tblGrid>
      <w:tr w:rsidR="0049784C" w:rsidRPr="00C174EC" w:rsidTr="001326A2"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9784C" w:rsidRPr="00C174EC" w:rsidTr="001326A2">
        <w:trPr>
          <w:trHeight w:val="797"/>
        </w:trPr>
        <w:tc>
          <w:tcPr>
            <w:tcW w:w="1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C174EC" w:rsidP="00C174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7F23EB" w:rsidP="007F23E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1326A2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C174EC" w:rsidTr="001326A2">
        <w:tc>
          <w:tcPr>
            <w:tcW w:w="1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326A2" w:rsidP="00C174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B96A33" w:rsidP="007F23E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3EB"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326A2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C174EC" w:rsidTr="001326A2">
        <w:tc>
          <w:tcPr>
            <w:tcW w:w="136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174EC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C174EC" w:rsidTr="001326A2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C174EC" w:rsidP="00C174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7F23EB" w:rsidP="007F23E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174EC" w:rsidRDefault="001326A2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320FB" w:rsidRPr="003547FF" w:rsidRDefault="003547FF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лава муниципального образования - при плане </w:t>
      </w:r>
      <w:r w:rsidRPr="003547FF">
        <w:rPr>
          <w:rFonts w:ascii="Times New Roman" w:hAnsi="Times New Roman" w:cs="Times New Roman"/>
          <w:sz w:val="24"/>
          <w:szCs w:val="24"/>
          <w:lang w:eastAsia="ru-RU"/>
        </w:rPr>
        <w:t>287,4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исполнено 2</w:t>
      </w:r>
      <w:r w:rsidRPr="003547FF">
        <w:rPr>
          <w:rFonts w:ascii="Times New Roman" w:hAnsi="Times New Roman" w:cs="Times New Roman"/>
          <w:sz w:val="24"/>
          <w:szCs w:val="24"/>
          <w:lang w:eastAsia="ru-RU"/>
        </w:rPr>
        <w:t>87,4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 к плану</w:t>
      </w:r>
      <w:r w:rsidR="0048449A" w:rsidRPr="003547FF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3547FF" w:rsidRDefault="003547FF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2320FB" w:rsidRPr="00354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354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Pr="003547FF">
        <w:rPr>
          <w:rFonts w:ascii="Times New Roman" w:hAnsi="Times New Roman" w:cs="Times New Roman"/>
          <w:sz w:val="24"/>
          <w:szCs w:val="24"/>
          <w:lang w:eastAsia="ru-RU"/>
        </w:rPr>
        <w:t>458,6</w:t>
      </w:r>
      <w:r w:rsidR="0049784C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исполнено </w:t>
      </w:r>
      <w:r w:rsidRPr="003547FF">
        <w:rPr>
          <w:rFonts w:ascii="Times New Roman" w:hAnsi="Times New Roman" w:cs="Times New Roman"/>
          <w:sz w:val="24"/>
          <w:szCs w:val="24"/>
          <w:lang w:eastAsia="ru-RU"/>
        </w:rPr>
        <w:t>458,6</w:t>
      </w:r>
      <w:r w:rsidR="0049784C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9017C" w:rsidRPr="003547FF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2320FB" w:rsidRPr="003547FF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7FF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при плане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7FF" w:rsidRPr="003547FF">
        <w:rPr>
          <w:rFonts w:ascii="Times New Roman" w:hAnsi="Times New Roman" w:cs="Times New Roman"/>
          <w:sz w:val="24"/>
          <w:szCs w:val="24"/>
          <w:lang w:eastAsia="ru-RU"/>
        </w:rPr>
        <w:t>458,6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исполнено </w:t>
      </w:r>
      <w:r w:rsidR="003547FF" w:rsidRPr="003547FF">
        <w:rPr>
          <w:rFonts w:ascii="Times New Roman" w:hAnsi="Times New Roman" w:cs="Times New Roman"/>
          <w:sz w:val="24"/>
          <w:szCs w:val="24"/>
          <w:lang w:eastAsia="ru-RU"/>
        </w:rPr>
        <w:t>458,6</w:t>
      </w:r>
      <w:r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плану; </w:t>
      </w:r>
      <w:r w:rsidR="002320FB" w:rsidRPr="003547F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320FB" w:rsidRPr="007F23EB" w:rsidRDefault="002320F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6E6E66" w:rsidRPr="00F842E2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2E2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  <w:r w:rsidR="00B96A33"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2E2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F842E2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F842E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Default="00B96A33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составил </w:t>
      </w:r>
      <w:r w:rsidR="00F842E2" w:rsidRPr="00F842E2">
        <w:rPr>
          <w:rFonts w:ascii="Times New Roman" w:hAnsi="Times New Roman" w:cs="Times New Roman"/>
          <w:sz w:val="24"/>
          <w:szCs w:val="24"/>
          <w:lang w:eastAsia="ru-RU"/>
        </w:rPr>
        <w:t>30,1</w:t>
      </w:r>
      <w:r w:rsidR="0049784C"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 </w:t>
      </w:r>
      <w:r w:rsidR="00F842E2" w:rsidRPr="00F842E2">
        <w:rPr>
          <w:rFonts w:ascii="Times New Roman" w:hAnsi="Times New Roman" w:cs="Times New Roman"/>
          <w:sz w:val="24"/>
          <w:szCs w:val="24"/>
          <w:lang w:eastAsia="ru-RU"/>
        </w:rPr>
        <w:t>30,1</w:t>
      </w:r>
      <w:r w:rsidR="0049784C"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F842E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842E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F842E2">
        <w:rPr>
          <w:rFonts w:ascii="Times New Roman" w:hAnsi="Times New Roman" w:cs="Times New Roman"/>
          <w:sz w:val="24"/>
          <w:szCs w:val="24"/>
          <w:lang w:eastAsia="ru-RU"/>
        </w:rPr>
        <w:t xml:space="preserve">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F842E2" w:rsidRDefault="00F842E2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2E2" w:rsidRDefault="00F842E2" w:rsidP="00F842E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2E2">
        <w:rPr>
          <w:rFonts w:ascii="Times New Roman" w:hAnsi="Times New Roman" w:cs="Times New Roman"/>
          <w:b/>
          <w:sz w:val="24"/>
          <w:szCs w:val="24"/>
          <w:lang w:eastAsia="ru-RU"/>
        </w:rPr>
        <w:t>04 «НАЦИОНАЛЬНАЯ ЭКОНОМИКА»</w:t>
      </w:r>
    </w:p>
    <w:p w:rsidR="00F842E2" w:rsidRPr="00F842E2" w:rsidRDefault="00F842E2" w:rsidP="00F842E2">
      <w:pPr>
        <w:pStyle w:val="a8"/>
        <w:rPr>
          <w:rFonts w:ascii="Times New Roman" w:hAnsi="Times New Roman" w:cs="Times New Roman"/>
        </w:rPr>
      </w:pPr>
      <w:r w:rsidRPr="00F842E2">
        <w:rPr>
          <w:rFonts w:ascii="Times New Roman" w:hAnsi="Times New Roman" w:cs="Times New Roman"/>
        </w:rPr>
        <w:t xml:space="preserve">      Уточненный план составил 8 тыс. рублей, исполнение  - 8 тыс. рублей или 100 процентов к уточненному плану. Денежные средства  израсходованы на содержание  автомобильных дорог  общего пользования </w:t>
      </w:r>
    </w:p>
    <w:p w:rsidR="00F842E2" w:rsidRPr="00F842E2" w:rsidRDefault="00F842E2" w:rsidP="00F842E2">
      <w:pPr>
        <w:pStyle w:val="a8"/>
        <w:rPr>
          <w:rFonts w:ascii="Times New Roman" w:hAnsi="Times New Roman" w:cs="Times New Roman"/>
        </w:rPr>
      </w:pPr>
    </w:p>
    <w:p w:rsidR="0049784C" w:rsidRPr="002A13AE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color w:val="008000"/>
          <w:sz w:val="24"/>
          <w:szCs w:val="24"/>
          <w:lang w:eastAsia="ru-RU"/>
        </w:rPr>
        <w:lastRenderedPageBreak/>
        <w:t xml:space="preserve">            </w:t>
      </w:r>
      <w:bookmarkStart w:id="5" w:name="YANDEX_141"/>
      <w:bookmarkEnd w:id="5"/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                     </w:t>
      </w:r>
      <w:r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>05 «Ж</w:t>
      </w:r>
      <w:r w:rsidR="00F44B1F"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ХОЗЯЙСТВО»</w:t>
      </w:r>
      <w:r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3EC" w:rsidRPr="002A13AE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BB51D7" w:rsidRPr="002A13AE">
        <w:rPr>
          <w:rFonts w:ascii="Times New Roman" w:hAnsi="Times New Roman" w:cs="Times New Roman"/>
          <w:sz w:val="24"/>
          <w:szCs w:val="24"/>
          <w:lang w:eastAsia="ru-RU"/>
        </w:rPr>
        <w:t>30,3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BB51D7" w:rsidRPr="002A13AE">
        <w:rPr>
          <w:rFonts w:ascii="Times New Roman" w:hAnsi="Times New Roman" w:cs="Times New Roman"/>
          <w:sz w:val="24"/>
          <w:szCs w:val="24"/>
          <w:lang w:eastAsia="ru-RU"/>
        </w:rPr>
        <w:t>30,3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8B62CC" w:rsidRPr="002A13AE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>  процента к плану.  </w:t>
      </w:r>
    </w:p>
    <w:p w:rsidR="0049784C" w:rsidRPr="002A13AE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B51D7" w:rsidRPr="002A13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2A13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0503 «Благоустройство» 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BB51D7" w:rsidRPr="002A13AE">
        <w:rPr>
          <w:rFonts w:ascii="Times New Roman" w:hAnsi="Times New Roman" w:cs="Times New Roman"/>
          <w:sz w:val="24"/>
          <w:szCs w:val="24"/>
          <w:lang w:eastAsia="ru-RU"/>
        </w:rPr>
        <w:t>30,3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="00BB51D7" w:rsidRPr="002A13AE">
        <w:rPr>
          <w:rFonts w:ascii="Times New Roman" w:hAnsi="Times New Roman" w:cs="Times New Roman"/>
          <w:sz w:val="24"/>
          <w:szCs w:val="24"/>
          <w:lang w:eastAsia="ru-RU"/>
        </w:rPr>
        <w:t>30,3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24079F" w:rsidRPr="002A13AE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24079F" w:rsidRPr="002A13A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49784C" w:rsidRPr="002A13AE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sz w:val="24"/>
          <w:szCs w:val="24"/>
          <w:lang w:eastAsia="ru-RU"/>
        </w:rPr>
        <w:t>  -  содержание автомобильных дорог </w:t>
      </w:r>
      <w:r w:rsidR="0024079F" w:rsidRPr="002A13AE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2A13A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1D7" w:rsidRPr="002A13AE">
        <w:rPr>
          <w:rFonts w:ascii="Times New Roman" w:hAnsi="Times New Roman" w:cs="Times New Roman"/>
          <w:sz w:val="24"/>
          <w:szCs w:val="24"/>
          <w:lang w:eastAsia="ru-RU"/>
        </w:rPr>
        <w:t>7,</w:t>
      </w:r>
      <w:r w:rsidR="003C6F9E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="00BB51D7" w:rsidRPr="002A13AE">
        <w:rPr>
          <w:rFonts w:ascii="Times New Roman" w:hAnsi="Times New Roman" w:cs="Times New Roman"/>
          <w:sz w:val="24"/>
          <w:szCs w:val="24"/>
          <w:lang w:eastAsia="ru-RU"/>
        </w:rPr>
        <w:t>лей;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E66" w:rsidRPr="002A13AE" w:rsidRDefault="006E6E66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и содержание мест захоронения – </w:t>
      </w:r>
      <w:r w:rsidR="00BB51D7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7,6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3C6F9E" w:rsidRPr="002A13AE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sz w:val="24"/>
          <w:szCs w:val="24"/>
          <w:lang w:eastAsia="ru-RU"/>
        </w:rPr>
        <w:t>- прочие мероприяти</w:t>
      </w:r>
      <w:r w:rsidR="009903EC" w:rsidRPr="002A13A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="006E6E66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A13AE" w:rsidRPr="002A13AE">
        <w:rPr>
          <w:rFonts w:ascii="Times New Roman" w:hAnsi="Times New Roman" w:cs="Times New Roman"/>
          <w:sz w:val="24"/>
          <w:szCs w:val="24"/>
          <w:lang w:eastAsia="ru-RU"/>
        </w:rPr>
        <w:t>9,3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2A13AE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3C6F9E" w:rsidRPr="002A13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6E66" w:rsidRPr="002A13AE" w:rsidRDefault="003C6F9E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sz w:val="24"/>
          <w:szCs w:val="24"/>
          <w:lang w:eastAsia="ru-RU"/>
        </w:rPr>
        <w:t>- наказы избирателей -</w:t>
      </w:r>
      <w:r w:rsidR="002A13AE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9784C" w:rsidRPr="002A13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2A13AE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      </w:t>
      </w:r>
      <w:r w:rsidR="003C6F9E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E6E66"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="006E6E66"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>УЛЬТУРА</w:t>
      </w:r>
      <w:r w:rsidR="003C6F9E"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6E66"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КИНЕМАТОГРАФИЯ</w:t>
      </w:r>
      <w:r w:rsidR="00150CDB" w:rsidRPr="002A13A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3837F6" w:rsidRDefault="0017344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       По подразделу </w:t>
      </w:r>
      <w:r w:rsidR="0049784C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0801 «Культура» 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49784C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юджетные ассигнования по данному разделу первоначально утверждены в сумме </w:t>
      </w:r>
      <w:r w:rsidR="009903EC" w:rsidRPr="002A13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A13AE" w:rsidRPr="002A13AE">
        <w:rPr>
          <w:rFonts w:ascii="Times New Roman" w:hAnsi="Times New Roman" w:cs="Times New Roman"/>
          <w:sz w:val="24"/>
          <w:szCs w:val="24"/>
          <w:lang w:eastAsia="ru-RU"/>
        </w:rPr>
        <w:t>20,3</w:t>
      </w:r>
      <w:r w:rsidR="0049784C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увеличены на </w:t>
      </w:r>
      <w:r w:rsidR="006E6E66" w:rsidRPr="002A13A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13AE">
        <w:rPr>
          <w:rFonts w:ascii="Times New Roman" w:hAnsi="Times New Roman" w:cs="Times New Roman"/>
          <w:sz w:val="24"/>
          <w:szCs w:val="24"/>
          <w:lang w:eastAsia="ru-RU"/>
        </w:rPr>
        <w:t>38,5</w:t>
      </w:r>
      <w:r w:rsidR="0049784C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руб. и составили </w:t>
      </w:r>
      <w:r w:rsidR="002A13AE" w:rsidRPr="002A13AE">
        <w:rPr>
          <w:rFonts w:ascii="Times New Roman" w:hAnsi="Times New Roman" w:cs="Times New Roman"/>
          <w:sz w:val="24"/>
          <w:szCs w:val="24"/>
          <w:lang w:eastAsia="ru-RU"/>
        </w:rPr>
        <w:t>553,8</w:t>
      </w:r>
      <w:r w:rsidR="0049784C" w:rsidRPr="002A13AE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 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2A13AE" w:rsidRPr="003837F6">
        <w:rPr>
          <w:rFonts w:ascii="Times New Roman" w:hAnsi="Times New Roman" w:cs="Times New Roman"/>
          <w:sz w:val="24"/>
          <w:szCs w:val="24"/>
          <w:lang w:eastAsia="ru-RU"/>
        </w:rPr>
        <w:t>553,8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6E6E66" w:rsidRPr="003837F6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E6E66" w:rsidRPr="003837F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proofErr w:type="gramStart"/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9D7726" w:rsidRPr="003837F6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Выводы</w:t>
      </w:r>
      <w:r w:rsidR="00A5351D" w:rsidRPr="0038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51D" w:rsidRPr="003837F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A5351D" w:rsidRPr="0038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726" w:rsidRPr="003837F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351D" w:rsidRPr="003837F6" w:rsidRDefault="003B5AFF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837F6">
        <w:rPr>
          <w:rFonts w:ascii="Times New Roman" w:hAnsi="Times New Roman" w:cs="Times New Roman"/>
          <w:sz w:val="24"/>
          <w:szCs w:val="24"/>
        </w:rPr>
        <w:t>1.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Произведенная </w:t>
      </w:r>
      <w:bookmarkStart w:id="6" w:name="YANDEX_114"/>
      <w:bookmarkEnd w:id="6"/>
      <w:r w:rsidR="00A5351D" w:rsidRPr="003837F6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YANDEX_115"/>
      <w:bookmarkEnd w:id="7"/>
      <w:r w:rsidR="00A5351D" w:rsidRPr="003837F6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116"/>
      <w:bookmarkEnd w:id="8"/>
      <w:r w:rsidR="00A5351D" w:rsidRPr="003837F6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YANDEX_117"/>
      <w:bookmarkEnd w:id="9"/>
      <w:r w:rsidR="00A5351D" w:rsidRPr="003837F6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F7" w:rsidRPr="003837F6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A5351D"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YANDEX_118"/>
      <w:bookmarkEnd w:id="10"/>
      <w:r w:rsidR="00A5351D" w:rsidRPr="003837F6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YANDEX_119"/>
      <w:bookmarkEnd w:id="11"/>
      <w:r w:rsidR="00A5351D" w:rsidRPr="003837F6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12" w:name="YANDEX_120"/>
      <w:bookmarkEnd w:id="12"/>
      <w:r w:rsidR="00A5351D" w:rsidRPr="003837F6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201</w:t>
      </w:r>
      <w:r w:rsidR="00E219A4" w:rsidRPr="003837F6">
        <w:rPr>
          <w:rFonts w:ascii="Times New Roman" w:hAnsi="Times New Roman" w:cs="Times New Roman"/>
          <w:sz w:val="24"/>
          <w:szCs w:val="24"/>
        </w:rPr>
        <w:t>2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3837F6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3837F6">
        <w:rPr>
          <w:rFonts w:ascii="Times New Roman" w:hAnsi="Times New Roman" w:cs="Times New Roman"/>
          <w:sz w:val="24"/>
          <w:szCs w:val="24"/>
        </w:rPr>
        <w:t>ого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3837F6">
        <w:rPr>
          <w:rFonts w:ascii="Times New Roman" w:hAnsi="Times New Roman" w:cs="Times New Roman"/>
          <w:sz w:val="24"/>
          <w:szCs w:val="24"/>
        </w:rPr>
        <w:t>а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РФ</w:t>
      </w:r>
      <w:r w:rsidRPr="003837F6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3837F6">
        <w:rPr>
          <w:rFonts w:ascii="Times New Roman" w:hAnsi="Times New Roman" w:cs="Times New Roman"/>
          <w:sz w:val="24"/>
          <w:szCs w:val="24"/>
        </w:rPr>
        <w:t>х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3837F6">
        <w:rPr>
          <w:rFonts w:ascii="Times New Roman" w:hAnsi="Times New Roman" w:cs="Times New Roman"/>
          <w:sz w:val="24"/>
          <w:szCs w:val="24"/>
        </w:rPr>
        <w:t>х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акт</w:t>
      </w:r>
      <w:r w:rsidRPr="003837F6">
        <w:rPr>
          <w:rFonts w:ascii="Times New Roman" w:hAnsi="Times New Roman" w:cs="Times New Roman"/>
          <w:sz w:val="24"/>
          <w:szCs w:val="24"/>
        </w:rPr>
        <w:t>ов</w:t>
      </w:r>
      <w:r w:rsidR="00A5351D" w:rsidRPr="003837F6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3837F6">
        <w:rPr>
          <w:rFonts w:ascii="Times New Roman" w:hAnsi="Times New Roman" w:cs="Times New Roman"/>
          <w:sz w:val="24"/>
          <w:szCs w:val="24"/>
        </w:rPr>
        <w:t>х</w:t>
      </w:r>
      <w:r w:rsidR="00A5351D" w:rsidRPr="003837F6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A5351D" w:rsidRPr="003837F6" w:rsidRDefault="00A5351D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837F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3" w:name="YANDEX_121"/>
      <w:bookmarkEnd w:id="13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YANDEX_122"/>
      <w:bookmarkEnd w:id="14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3837F6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YANDEX_123"/>
      <w:bookmarkEnd w:id="15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3837F6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Pr="003837F6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3837F6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3837F6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9D7726" w:rsidRPr="003837F6">
        <w:rPr>
          <w:rFonts w:ascii="Times New Roman" w:hAnsi="Times New Roman" w:cs="Times New Roman"/>
          <w:sz w:val="24"/>
          <w:szCs w:val="24"/>
        </w:rPr>
        <w:t>и</w:t>
      </w:r>
      <w:r w:rsidRPr="003837F6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16" w:name="YANDEX_124"/>
      <w:bookmarkEnd w:id="16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3837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7F6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17" w:name="YANDEX_125"/>
      <w:bookmarkEnd w:id="17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YANDEX_126"/>
      <w:bookmarkEnd w:id="18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YANDEX_127"/>
      <w:bookmarkEnd w:id="19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3837F6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Pr="003837F6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3837F6">
        <w:rPr>
          <w:rFonts w:ascii="Times New Roman" w:hAnsi="Times New Roman" w:cs="Times New Roman"/>
          <w:sz w:val="24"/>
          <w:szCs w:val="24"/>
        </w:rPr>
        <w:t>91</w:t>
      </w:r>
      <w:r w:rsidRPr="003837F6">
        <w:rPr>
          <w:rFonts w:ascii="Times New Roman" w:hAnsi="Times New Roman" w:cs="Times New Roman"/>
          <w:sz w:val="24"/>
          <w:szCs w:val="24"/>
        </w:rPr>
        <w:t>н,</w:t>
      </w:r>
      <w:r w:rsidR="009D7726" w:rsidRPr="003837F6">
        <w:rPr>
          <w:rFonts w:ascii="Times New Roman" w:hAnsi="Times New Roman" w:cs="Times New Roman"/>
          <w:sz w:val="24"/>
          <w:szCs w:val="24"/>
        </w:rPr>
        <w:t xml:space="preserve"> допущены неточности при заполнении форм бухгалтерской отчетности</w:t>
      </w:r>
      <w:r w:rsidRPr="003837F6">
        <w:rPr>
          <w:rFonts w:ascii="Times New Roman" w:hAnsi="Times New Roman" w:cs="Times New Roman"/>
          <w:sz w:val="24"/>
          <w:szCs w:val="24"/>
        </w:rPr>
        <w:t>.</w:t>
      </w:r>
    </w:p>
    <w:p w:rsidR="00A5351D" w:rsidRPr="003837F6" w:rsidRDefault="00A5351D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837F6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20" w:name="YANDEX_128"/>
      <w:bookmarkEnd w:id="20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YANDEX_129"/>
      <w:bookmarkEnd w:id="21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130"/>
      <w:bookmarkEnd w:id="22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YANDEX_131"/>
      <w:bookmarkEnd w:id="23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F7" w:rsidRPr="003837F6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Pr="003837F6">
        <w:rPr>
          <w:rFonts w:ascii="Times New Roman" w:hAnsi="Times New Roman" w:cs="Times New Roman"/>
          <w:sz w:val="24"/>
          <w:szCs w:val="24"/>
        </w:rPr>
        <w:t xml:space="preserve">  </w:t>
      </w:r>
      <w:bookmarkStart w:id="24" w:name="YANDEX_132"/>
      <w:bookmarkEnd w:id="24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YANDEX_133"/>
      <w:bookmarkEnd w:id="25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</w:t>
      </w:r>
      <w:r w:rsidR="001B1E2D" w:rsidRPr="003837F6">
        <w:rPr>
          <w:rFonts w:ascii="Times New Roman" w:hAnsi="Times New Roman" w:cs="Times New Roman"/>
          <w:sz w:val="24"/>
          <w:szCs w:val="24"/>
        </w:rPr>
        <w:t>за</w:t>
      </w:r>
      <w:r w:rsidRPr="003837F6">
        <w:rPr>
          <w:rFonts w:ascii="Times New Roman" w:hAnsi="Times New Roman" w:cs="Times New Roman"/>
          <w:sz w:val="24"/>
          <w:szCs w:val="24"/>
        </w:rPr>
        <w:t xml:space="preserve"> 201</w:t>
      </w:r>
      <w:r w:rsidR="00074355" w:rsidRPr="003837F6">
        <w:rPr>
          <w:rFonts w:ascii="Times New Roman" w:hAnsi="Times New Roman" w:cs="Times New Roman"/>
          <w:sz w:val="24"/>
          <w:szCs w:val="24"/>
        </w:rPr>
        <w:t>3</w:t>
      </w:r>
      <w:r w:rsidRPr="003837F6">
        <w:rPr>
          <w:rFonts w:ascii="Times New Roman" w:hAnsi="Times New Roman" w:cs="Times New Roman"/>
          <w:sz w:val="24"/>
          <w:szCs w:val="24"/>
        </w:rPr>
        <w:t xml:space="preserve"> год может быть вынесен на заседание </w:t>
      </w:r>
      <w:proofErr w:type="spellStart"/>
      <w:r w:rsidR="00165CF7" w:rsidRPr="003837F6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Pr="003837F6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bookmarkStart w:id="26" w:name="YANDEX_134"/>
      <w:bookmarkStart w:id="27" w:name="YANDEX_135"/>
      <w:bookmarkEnd w:id="26"/>
      <w:bookmarkEnd w:id="27"/>
      <w:r w:rsidRPr="003837F6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3837F6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3837F6">
        <w:rPr>
          <w:rFonts w:ascii="Times New Roman" w:hAnsi="Times New Roman" w:cs="Times New Roman"/>
          <w:sz w:val="24"/>
          <w:szCs w:val="24"/>
        </w:rPr>
        <w:t xml:space="preserve"> с учетом доработ</w:t>
      </w:r>
      <w:r w:rsidR="00C17919" w:rsidRPr="003837F6">
        <w:rPr>
          <w:rFonts w:ascii="Times New Roman" w:hAnsi="Times New Roman" w:cs="Times New Roman"/>
          <w:sz w:val="24"/>
          <w:szCs w:val="24"/>
        </w:rPr>
        <w:t>ки проекта  решения и приложений к проекту решения.</w:t>
      </w:r>
    </w:p>
    <w:p w:rsidR="0049784C" w:rsidRPr="003837F6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            </w:t>
      </w:r>
      <w:r w:rsidRPr="003837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Предложения </w:t>
      </w:r>
    </w:p>
    <w:p w:rsidR="0049784C" w:rsidRPr="003837F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 Администрации </w:t>
      </w:r>
      <w:proofErr w:type="spellStart"/>
      <w:r w:rsidR="00165CF7" w:rsidRPr="003837F6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48449A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28" w:name="YANDEX_192"/>
      <w:bookmarkStart w:id="29" w:name="YANDEX_193"/>
      <w:bookmarkEnd w:id="28"/>
      <w:bookmarkEnd w:id="29"/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30" w:name="YANDEX_194"/>
      <w:bookmarkEnd w:id="30"/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31" w:name="YANDEX_195"/>
      <w:bookmarkEnd w:id="31"/>
      <w:r w:rsidRPr="003837F6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074355" w:rsidRPr="003837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3837F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3837F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32" w:name="YANDEX_196"/>
      <w:bookmarkEnd w:id="32"/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165CF7" w:rsidRPr="003837F6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D7726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3" w:name="YANDEX_197"/>
      <w:bookmarkStart w:id="34" w:name="YANDEX_198"/>
      <w:bookmarkEnd w:id="33"/>
      <w:bookmarkEnd w:id="34"/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3837F6" w:rsidRDefault="00074355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YANDEX_199"/>
      <w:bookmarkStart w:id="36" w:name="YANDEX_200"/>
      <w:bookmarkStart w:id="37" w:name="YANDEX_201"/>
      <w:bookmarkStart w:id="38" w:name="YANDEX_202"/>
      <w:bookmarkEnd w:id="35"/>
      <w:bookmarkEnd w:id="36"/>
      <w:bookmarkEnd w:id="37"/>
      <w:bookmarkEnd w:id="38"/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  2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со ст. 185 БК РФ  проект решения о </w:t>
      </w:r>
      <w:bookmarkStart w:id="39" w:name="YANDEX_206"/>
      <w:bookmarkEnd w:id="39"/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3837F6" w:rsidRDefault="003837F6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="003B5AFF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. Подготовить проект  решения об исполнении бюджета </w:t>
      </w:r>
      <w:proofErr w:type="gramStart"/>
      <w:r w:rsidR="003B5AFF" w:rsidRPr="003837F6">
        <w:rPr>
          <w:rFonts w:ascii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="003B5AFF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РФ</w:t>
      </w:r>
      <w:r w:rsidR="00C17919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рекомендаций Контрольно-ревизионной комиссии.</w:t>
      </w:r>
      <w:r w:rsidR="003B5AFF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3837F6" w:rsidRDefault="003837F6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  4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. Устранить замечания по </w:t>
      </w:r>
      <w:bookmarkStart w:id="40" w:name="YANDEX_207"/>
      <w:bookmarkEnd w:id="4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ведению бухгалтерского учета  и 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годовой  бюджетной отчетности администрации </w:t>
      </w:r>
      <w:r w:rsidR="00933443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5CF7" w:rsidRPr="003837F6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33443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41" w:name="YANDEX_208"/>
      <w:bookmarkStart w:id="42" w:name="YANDEX_209"/>
      <w:bookmarkEnd w:id="41"/>
      <w:bookmarkEnd w:id="42"/>
      <w:r w:rsidR="00933443" w:rsidRPr="003837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5CF7" w:rsidRPr="003837F6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EB055F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7F6">
        <w:rPr>
          <w:rFonts w:ascii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</w:t>
      </w:r>
      <w:r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EB055F" w:rsidRDefault="009F1242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B055F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EB055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EB055F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C17919" w:rsidRPr="00EB055F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EB055F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Один экземпляр получил Председатель </w:t>
      </w:r>
      <w:proofErr w:type="spellStart"/>
      <w:r w:rsidR="00165CF7" w:rsidRPr="00EB055F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F1242"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EB055F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43" w:name="YANDEX_210"/>
      <w:bookmarkStart w:id="44" w:name="YANDEX_211"/>
      <w:bookmarkEnd w:id="43"/>
      <w:bookmarkEnd w:id="44"/>
      <w:r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EB055F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55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055F">
        <w:rPr>
          <w:rFonts w:ascii="Times New Roman" w:hAnsi="Times New Roman" w:cs="Times New Roman"/>
          <w:sz w:val="24"/>
          <w:szCs w:val="24"/>
        </w:rPr>
        <w:t>(Ф.И.О. полностью)                                                                   (число, подпись)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1242" w:rsidRPr="00B42520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54F36"/>
    <w:rsid w:val="000562AD"/>
    <w:rsid w:val="00062622"/>
    <w:rsid w:val="000664E0"/>
    <w:rsid w:val="00067FB8"/>
    <w:rsid w:val="00074355"/>
    <w:rsid w:val="00091A40"/>
    <w:rsid w:val="000B23E4"/>
    <w:rsid w:val="000B48EC"/>
    <w:rsid w:val="000F6ECC"/>
    <w:rsid w:val="00117F36"/>
    <w:rsid w:val="001326A2"/>
    <w:rsid w:val="00150CDB"/>
    <w:rsid w:val="00155E71"/>
    <w:rsid w:val="0016402F"/>
    <w:rsid w:val="00165CF7"/>
    <w:rsid w:val="00170EF0"/>
    <w:rsid w:val="0017344B"/>
    <w:rsid w:val="001835D0"/>
    <w:rsid w:val="0018457F"/>
    <w:rsid w:val="001849C8"/>
    <w:rsid w:val="001A518C"/>
    <w:rsid w:val="001B1E2D"/>
    <w:rsid w:val="001B211E"/>
    <w:rsid w:val="001D155D"/>
    <w:rsid w:val="001E5FFF"/>
    <w:rsid w:val="002320FB"/>
    <w:rsid w:val="0024079F"/>
    <w:rsid w:val="002512ED"/>
    <w:rsid w:val="0027246B"/>
    <w:rsid w:val="002801E3"/>
    <w:rsid w:val="00283723"/>
    <w:rsid w:val="002A07D0"/>
    <w:rsid w:val="002A13AE"/>
    <w:rsid w:val="002C071A"/>
    <w:rsid w:val="002D229C"/>
    <w:rsid w:val="002E4F6E"/>
    <w:rsid w:val="002F10AB"/>
    <w:rsid w:val="003257B3"/>
    <w:rsid w:val="00330CD8"/>
    <w:rsid w:val="003547FF"/>
    <w:rsid w:val="00360575"/>
    <w:rsid w:val="00372789"/>
    <w:rsid w:val="00381C3D"/>
    <w:rsid w:val="003837F6"/>
    <w:rsid w:val="003A0A51"/>
    <w:rsid w:val="003A4AB9"/>
    <w:rsid w:val="003B109A"/>
    <w:rsid w:val="003B5AFF"/>
    <w:rsid w:val="003C355A"/>
    <w:rsid w:val="003C6F9E"/>
    <w:rsid w:val="003E6538"/>
    <w:rsid w:val="003F7F0D"/>
    <w:rsid w:val="00405A4D"/>
    <w:rsid w:val="004062FA"/>
    <w:rsid w:val="00407C02"/>
    <w:rsid w:val="00411E5E"/>
    <w:rsid w:val="00412733"/>
    <w:rsid w:val="004316A0"/>
    <w:rsid w:val="0043217E"/>
    <w:rsid w:val="00440A3F"/>
    <w:rsid w:val="0044712B"/>
    <w:rsid w:val="0048449A"/>
    <w:rsid w:val="0049784C"/>
    <w:rsid w:val="004A2623"/>
    <w:rsid w:val="004A636A"/>
    <w:rsid w:val="004B59CC"/>
    <w:rsid w:val="004B7521"/>
    <w:rsid w:val="004C53CB"/>
    <w:rsid w:val="004D4AF0"/>
    <w:rsid w:val="004F0C75"/>
    <w:rsid w:val="005047A9"/>
    <w:rsid w:val="00524881"/>
    <w:rsid w:val="00561440"/>
    <w:rsid w:val="00581EC2"/>
    <w:rsid w:val="00586BED"/>
    <w:rsid w:val="0059771D"/>
    <w:rsid w:val="00597FD8"/>
    <w:rsid w:val="005A1AB2"/>
    <w:rsid w:val="005B2447"/>
    <w:rsid w:val="005C794D"/>
    <w:rsid w:val="005C7EE9"/>
    <w:rsid w:val="005D5DFD"/>
    <w:rsid w:val="005E4B9D"/>
    <w:rsid w:val="005E67B0"/>
    <w:rsid w:val="005F0EED"/>
    <w:rsid w:val="0062690D"/>
    <w:rsid w:val="00631DE0"/>
    <w:rsid w:val="00651258"/>
    <w:rsid w:val="006605A7"/>
    <w:rsid w:val="006804A6"/>
    <w:rsid w:val="006825C6"/>
    <w:rsid w:val="00682610"/>
    <w:rsid w:val="0069017C"/>
    <w:rsid w:val="006A7C02"/>
    <w:rsid w:val="006D5ED7"/>
    <w:rsid w:val="006E3CE3"/>
    <w:rsid w:val="006E6E66"/>
    <w:rsid w:val="006F1A86"/>
    <w:rsid w:val="00717149"/>
    <w:rsid w:val="00723D4D"/>
    <w:rsid w:val="00732A96"/>
    <w:rsid w:val="007E2A34"/>
    <w:rsid w:val="007E6254"/>
    <w:rsid w:val="007F23EB"/>
    <w:rsid w:val="007F5274"/>
    <w:rsid w:val="00804DF9"/>
    <w:rsid w:val="008142CB"/>
    <w:rsid w:val="00816662"/>
    <w:rsid w:val="008267FE"/>
    <w:rsid w:val="00834368"/>
    <w:rsid w:val="00871D6B"/>
    <w:rsid w:val="008829C5"/>
    <w:rsid w:val="008A373E"/>
    <w:rsid w:val="008B62CC"/>
    <w:rsid w:val="008C6A42"/>
    <w:rsid w:val="008F1D01"/>
    <w:rsid w:val="00927A37"/>
    <w:rsid w:val="009301A1"/>
    <w:rsid w:val="00931F2E"/>
    <w:rsid w:val="00933443"/>
    <w:rsid w:val="00933702"/>
    <w:rsid w:val="009575AD"/>
    <w:rsid w:val="009727D5"/>
    <w:rsid w:val="0098339C"/>
    <w:rsid w:val="009903EC"/>
    <w:rsid w:val="00991415"/>
    <w:rsid w:val="009B117C"/>
    <w:rsid w:val="009B1AB9"/>
    <w:rsid w:val="009B4285"/>
    <w:rsid w:val="009B7330"/>
    <w:rsid w:val="009D6488"/>
    <w:rsid w:val="009D7726"/>
    <w:rsid w:val="009E1829"/>
    <w:rsid w:val="009E63B4"/>
    <w:rsid w:val="009F1242"/>
    <w:rsid w:val="00A03F3D"/>
    <w:rsid w:val="00A17078"/>
    <w:rsid w:val="00A2599F"/>
    <w:rsid w:val="00A321EA"/>
    <w:rsid w:val="00A327BE"/>
    <w:rsid w:val="00A5351D"/>
    <w:rsid w:val="00A7303B"/>
    <w:rsid w:val="00A777ED"/>
    <w:rsid w:val="00A841D8"/>
    <w:rsid w:val="00A84A89"/>
    <w:rsid w:val="00AB213E"/>
    <w:rsid w:val="00AC390A"/>
    <w:rsid w:val="00AC6296"/>
    <w:rsid w:val="00B10054"/>
    <w:rsid w:val="00B20BD2"/>
    <w:rsid w:val="00B220E0"/>
    <w:rsid w:val="00B42520"/>
    <w:rsid w:val="00B65441"/>
    <w:rsid w:val="00B73518"/>
    <w:rsid w:val="00B814D1"/>
    <w:rsid w:val="00B9540A"/>
    <w:rsid w:val="00B9630D"/>
    <w:rsid w:val="00B96A33"/>
    <w:rsid w:val="00BB51D7"/>
    <w:rsid w:val="00C174EC"/>
    <w:rsid w:val="00C17919"/>
    <w:rsid w:val="00C210B8"/>
    <w:rsid w:val="00C21A48"/>
    <w:rsid w:val="00C235E6"/>
    <w:rsid w:val="00C35810"/>
    <w:rsid w:val="00CB54C9"/>
    <w:rsid w:val="00CB631B"/>
    <w:rsid w:val="00CC006B"/>
    <w:rsid w:val="00CD012E"/>
    <w:rsid w:val="00CE5545"/>
    <w:rsid w:val="00CF7224"/>
    <w:rsid w:val="00D0340D"/>
    <w:rsid w:val="00D2028C"/>
    <w:rsid w:val="00D265D3"/>
    <w:rsid w:val="00D32CC4"/>
    <w:rsid w:val="00D53BAF"/>
    <w:rsid w:val="00D61F55"/>
    <w:rsid w:val="00D729CF"/>
    <w:rsid w:val="00D827B1"/>
    <w:rsid w:val="00D86E41"/>
    <w:rsid w:val="00D87A28"/>
    <w:rsid w:val="00D93511"/>
    <w:rsid w:val="00DD3384"/>
    <w:rsid w:val="00DE0BD8"/>
    <w:rsid w:val="00DE21E1"/>
    <w:rsid w:val="00DF2264"/>
    <w:rsid w:val="00E0404F"/>
    <w:rsid w:val="00E1063F"/>
    <w:rsid w:val="00E11281"/>
    <w:rsid w:val="00E219A4"/>
    <w:rsid w:val="00E60B38"/>
    <w:rsid w:val="00EB055F"/>
    <w:rsid w:val="00EB269A"/>
    <w:rsid w:val="00EB3D56"/>
    <w:rsid w:val="00EC0B5A"/>
    <w:rsid w:val="00ED42B1"/>
    <w:rsid w:val="00EE3290"/>
    <w:rsid w:val="00F07272"/>
    <w:rsid w:val="00F329B0"/>
    <w:rsid w:val="00F32E0D"/>
    <w:rsid w:val="00F44B1F"/>
    <w:rsid w:val="00F55E9A"/>
    <w:rsid w:val="00F71988"/>
    <w:rsid w:val="00F73A2D"/>
    <w:rsid w:val="00F84215"/>
    <w:rsid w:val="00F842E2"/>
    <w:rsid w:val="00F85E83"/>
    <w:rsid w:val="00F91293"/>
    <w:rsid w:val="00FB2F34"/>
    <w:rsid w:val="00FB3008"/>
    <w:rsid w:val="00FC2ED3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7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42520"/>
    <w:pPr>
      <w:spacing w:after="0" w:line="240" w:lineRule="auto"/>
    </w:pPr>
  </w:style>
  <w:style w:type="character" w:customStyle="1" w:styleId="a9">
    <w:name w:val="с ОТСТУПОМ Знак"/>
    <w:link w:val="aa"/>
    <w:locked/>
    <w:rsid w:val="00360575"/>
    <w:rPr>
      <w:rFonts w:ascii="Arial" w:eastAsia="Times New Roman" w:hAnsi="Arial" w:cs="Arial"/>
      <w:szCs w:val="19"/>
    </w:rPr>
  </w:style>
  <w:style w:type="paragraph" w:customStyle="1" w:styleId="aa">
    <w:name w:val="с ОТСТУПОМ"/>
    <w:basedOn w:val="ab"/>
    <w:link w:val="a9"/>
    <w:qFormat/>
    <w:rsid w:val="00360575"/>
    <w:pPr>
      <w:widowControl w:val="0"/>
      <w:autoSpaceDE w:val="0"/>
      <w:autoSpaceDN w:val="0"/>
      <w:adjustRightInd w:val="0"/>
      <w:spacing w:before="40" w:after="0" w:line="240" w:lineRule="auto"/>
      <w:ind w:left="0" w:firstLine="284"/>
      <w:jc w:val="both"/>
    </w:pPr>
    <w:rPr>
      <w:rFonts w:ascii="Arial" w:eastAsia="Times New Roman" w:hAnsi="Arial" w:cs="Arial"/>
      <w:szCs w:val="19"/>
    </w:rPr>
  </w:style>
  <w:style w:type="paragraph" w:customStyle="1" w:styleId="ac">
    <w:name w:val="Нормальный (таблица)"/>
    <w:basedOn w:val="a"/>
    <w:next w:val="a"/>
    <w:uiPriority w:val="99"/>
    <w:rsid w:val="00360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6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60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360575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b">
    <w:name w:val="Body Text Indent"/>
    <w:basedOn w:val="a"/>
    <w:link w:val="af"/>
    <w:uiPriority w:val="99"/>
    <w:semiHidden/>
    <w:unhideWhenUsed/>
    <w:rsid w:val="003605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b"/>
    <w:uiPriority w:val="99"/>
    <w:semiHidden/>
    <w:rsid w:val="00360575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2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0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2;&#1091;&#1088;&#1072;&#1074;&#1083;&#1100;.doc" TargetMode="External"/><Relationship Id="rId13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2;&#1091;&#1088;&#1072;&#1074;&#1083;&#110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2;&#1091;&#1088;&#1072;&#1074;&#1083;&#1100;.doc" TargetMode="External"/><Relationship Id="rId12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2;&#1091;&#1088;&#1072;&#1074;&#1083;&#1100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95061C928F457B86885EAD3467E03977DFF437EFF855E3DC1D666185A8D51D4E55D25137E842FT4f3H" TargetMode="External"/><Relationship Id="rId11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2;&#1091;&#1088;&#1072;&#1074;&#1083;&#110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29B487E461DFB0F9CA177E597779441066372D566EAFA558746D3F01B07660DD7A13E2C5F77148pAQ2Q" TargetMode="External"/><Relationship Id="rId10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2;&#1091;&#1088;&#1072;&#1074;&#1083;&#110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2;&#1091;&#1088;&#1072;&#1074;&#1083;&#1100;.doc" TargetMode="External"/><Relationship Id="rId14" Type="http://schemas.openxmlformats.org/officeDocument/2006/relationships/hyperlink" Target="consultantplus://offline/ref=5229B487E461DFB0F9CA177E597779441066372D566EAFA558746D3F01B07660DD7A13E2C5F6754FpAQ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85E99-CA93-4AD5-99B2-3FB908B4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2014-09-04T05:46:00Z</cp:lastPrinted>
  <dcterms:created xsi:type="dcterms:W3CDTF">2012-02-02T08:08:00Z</dcterms:created>
  <dcterms:modified xsi:type="dcterms:W3CDTF">2014-09-04T05:48:00Z</dcterms:modified>
</cp:coreProperties>
</file>