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5" w:rsidRPr="00C216CE" w:rsidRDefault="00235455" w:rsidP="00273795">
      <w:pPr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 xml:space="preserve"> </w:t>
      </w:r>
    </w:p>
    <w:p w:rsidR="00301595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302C3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 xml:space="preserve">ОРЛОВСКАЯ ОБЛАСТЬ  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ТРОСНЯНСКИЙ РАЙОН</w:t>
      </w:r>
    </w:p>
    <w:p w:rsidR="00301595" w:rsidRPr="00C216CE" w:rsidRDefault="002302C3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</w:t>
      </w:r>
      <w:r w:rsidR="00C216CE" w:rsidRPr="00C216CE">
        <w:rPr>
          <w:rFonts w:ascii="Arial" w:hAnsi="Arial" w:cs="Arial"/>
          <w:b/>
          <w:sz w:val="24"/>
          <w:szCs w:val="24"/>
        </w:rPr>
        <w:t xml:space="preserve">СКИЙ </w:t>
      </w:r>
      <w:r w:rsidR="00301595" w:rsidRPr="00C216CE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РЕШЕНИЕ</w:t>
      </w:r>
    </w:p>
    <w:p w:rsidR="00301595" w:rsidRDefault="002302C3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9 июл</w:t>
      </w:r>
      <w:r w:rsidR="00301595" w:rsidRPr="00C216CE">
        <w:rPr>
          <w:rFonts w:ascii="Arial" w:hAnsi="Arial" w:cs="Arial"/>
          <w:sz w:val="24"/>
          <w:szCs w:val="24"/>
        </w:rPr>
        <w:t>я  201</w:t>
      </w:r>
      <w:r>
        <w:rPr>
          <w:rFonts w:ascii="Arial" w:hAnsi="Arial" w:cs="Arial"/>
          <w:sz w:val="24"/>
          <w:szCs w:val="24"/>
        </w:rPr>
        <w:t>5</w:t>
      </w:r>
      <w:r w:rsidR="00301595" w:rsidRPr="00C216CE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C216CE">
        <w:rPr>
          <w:rFonts w:ascii="Arial" w:hAnsi="Arial" w:cs="Arial"/>
          <w:sz w:val="24"/>
          <w:szCs w:val="24"/>
        </w:rPr>
        <w:t xml:space="preserve">                           № </w:t>
      </w:r>
      <w:r>
        <w:rPr>
          <w:rFonts w:ascii="Arial" w:hAnsi="Arial" w:cs="Arial"/>
          <w:sz w:val="24"/>
          <w:szCs w:val="24"/>
        </w:rPr>
        <w:t>155</w:t>
      </w:r>
    </w:p>
    <w:p w:rsidR="002302C3" w:rsidRPr="00C216CE" w:rsidRDefault="002302C3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икольское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01595" w:rsidRPr="00C216CE" w:rsidRDefault="00301595" w:rsidP="002302C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</w:t>
      </w:r>
      <w:r w:rsidR="00C216CE">
        <w:rPr>
          <w:rFonts w:ascii="Arial" w:hAnsi="Arial" w:cs="Arial"/>
          <w:sz w:val="24"/>
          <w:szCs w:val="24"/>
        </w:rPr>
        <w:t xml:space="preserve">                              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02C3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02C3">
        <w:rPr>
          <w:rFonts w:ascii="Arial" w:hAnsi="Arial" w:cs="Arial"/>
          <w:sz w:val="24"/>
          <w:szCs w:val="24"/>
        </w:rPr>
        <w:t>рассмотрения заявок сельскохозяйственных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02C3">
        <w:rPr>
          <w:rFonts w:ascii="Arial" w:hAnsi="Arial" w:cs="Arial"/>
          <w:sz w:val="24"/>
          <w:szCs w:val="24"/>
        </w:rPr>
        <w:t>организаций и крестьянских (фермерских)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02C3">
        <w:rPr>
          <w:rFonts w:ascii="Arial" w:hAnsi="Arial" w:cs="Arial"/>
          <w:sz w:val="24"/>
          <w:szCs w:val="24"/>
        </w:rPr>
        <w:t>хозяйств и принятия решений  о продаже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02C3">
        <w:rPr>
          <w:rFonts w:ascii="Arial" w:hAnsi="Arial" w:cs="Arial"/>
          <w:sz w:val="24"/>
          <w:szCs w:val="24"/>
        </w:rPr>
        <w:t>земельных долей из земель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02C3">
        <w:rPr>
          <w:rFonts w:ascii="Arial" w:hAnsi="Arial" w:cs="Arial"/>
          <w:sz w:val="24"/>
          <w:szCs w:val="24"/>
        </w:rPr>
        <w:t>сельскохозяйственного назначения,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02C3">
        <w:rPr>
          <w:rFonts w:ascii="Arial" w:hAnsi="Arial" w:cs="Arial"/>
          <w:sz w:val="24"/>
          <w:szCs w:val="24"/>
        </w:rPr>
        <w:t>использующим</w:t>
      </w:r>
      <w:proofErr w:type="gramEnd"/>
      <w:r w:rsidRPr="002302C3">
        <w:rPr>
          <w:rFonts w:ascii="Arial" w:hAnsi="Arial" w:cs="Arial"/>
          <w:sz w:val="24"/>
          <w:szCs w:val="24"/>
        </w:rPr>
        <w:t xml:space="preserve"> земельный участок,</w:t>
      </w:r>
    </w:p>
    <w:p w:rsidR="00301595" w:rsidRP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302C3">
        <w:rPr>
          <w:rFonts w:ascii="Arial" w:hAnsi="Arial" w:cs="Arial"/>
          <w:sz w:val="24"/>
          <w:szCs w:val="24"/>
        </w:rPr>
        <w:t>находящийся</w:t>
      </w:r>
      <w:proofErr w:type="gramEnd"/>
      <w:r w:rsidRPr="002302C3">
        <w:rPr>
          <w:rFonts w:ascii="Arial" w:hAnsi="Arial" w:cs="Arial"/>
          <w:sz w:val="24"/>
          <w:szCs w:val="24"/>
        </w:rPr>
        <w:t xml:space="preserve"> в долевой собственности</w:t>
      </w:r>
    </w:p>
    <w:p w:rsidR="00301595" w:rsidRPr="002302C3" w:rsidRDefault="002302C3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C216CE" w:rsidRPr="002302C3">
        <w:rPr>
          <w:rFonts w:ascii="Arial" w:hAnsi="Arial" w:cs="Arial"/>
          <w:sz w:val="24"/>
          <w:szCs w:val="24"/>
        </w:rPr>
        <w:t xml:space="preserve">ского </w:t>
      </w:r>
      <w:r w:rsidR="00301595" w:rsidRPr="002302C3">
        <w:rPr>
          <w:rFonts w:ascii="Arial" w:hAnsi="Arial" w:cs="Arial"/>
          <w:sz w:val="24"/>
          <w:szCs w:val="24"/>
        </w:rPr>
        <w:t>сельского поселения</w:t>
      </w:r>
    </w:p>
    <w:p w:rsidR="00C216CE" w:rsidRPr="002302C3" w:rsidRDefault="00C216CE" w:rsidP="00301595">
      <w:pPr>
        <w:pStyle w:val="a9"/>
        <w:rPr>
          <w:rFonts w:ascii="Arial" w:hAnsi="Arial" w:cs="Arial"/>
        </w:rPr>
      </w:pPr>
    </w:p>
    <w:p w:rsidR="00301595" w:rsidRPr="00C216CE" w:rsidRDefault="00C216CE" w:rsidP="002302C3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01595" w:rsidRPr="00C216CE">
        <w:rPr>
          <w:rFonts w:ascii="Arial" w:hAnsi="Arial" w:cs="Arial"/>
        </w:rPr>
        <w:t xml:space="preserve">В соответствии с Земельным кодексом Российской Федерации, федеральными законами от 25 октября 2001 года № 137-ФЗ "О введении в действие Земельного кодекса Российской Федерации", от 24 июля 2002 года № 101-ФЗ "Об обороте земель сельскохозяйственного назначения", </w:t>
      </w:r>
      <w:r w:rsidR="002302C3">
        <w:rPr>
          <w:rFonts w:ascii="Arial" w:hAnsi="Arial" w:cs="Arial"/>
        </w:rPr>
        <w:t>Николь</w:t>
      </w:r>
      <w:r>
        <w:rPr>
          <w:rFonts w:ascii="Arial" w:hAnsi="Arial" w:cs="Arial"/>
        </w:rPr>
        <w:t xml:space="preserve">ский </w:t>
      </w:r>
      <w:r w:rsidR="00301595" w:rsidRPr="00C216CE">
        <w:rPr>
          <w:rFonts w:ascii="Arial" w:hAnsi="Arial" w:cs="Arial"/>
        </w:rPr>
        <w:t>сельский Совет народных депутатов</w:t>
      </w:r>
      <w:r w:rsidR="002302C3">
        <w:rPr>
          <w:rFonts w:ascii="Arial" w:hAnsi="Arial" w:cs="Arial"/>
        </w:rPr>
        <w:t xml:space="preserve"> </w:t>
      </w:r>
      <w:r w:rsidR="00301595" w:rsidRPr="002302C3">
        <w:rPr>
          <w:rFonts w:ascii="Arial" w:hAnsi="Arial" w:cs="Arial"/>
        </w:rPr>
        <w:t>РЕШИЛ: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1. Утвердить  «Положение 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r w:rsidR="002302C3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 Обнародовать настоящее решение на территории </w:t>
      </w:r>
      <w:r w:rsidR="002302C3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в сети Интернет.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02C3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2302C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Совета</w:t>
      </w:r>
      <w:r w:rsidR="002302C3">
        <w:rPr>
          <w:rFonts w:ascii="Arial" w:hAnsi="Arial" w:cs="Arial"/>
          <w:sz w:val="24"/>
          <w:szCs w:val="24"/>
        </w:rPr>
        <w:t xml:space="preserve"> народных депутатов                                                         </w:t>
      </w:r>
      <w:proofErr w:type="spellStart"/>
      <w:r w:rsidR="002302C3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Глава </w:t>
      </w:r>
      <w:r w:rsidR="002302C3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 w:rsidR="002302C3">
        <w:rPr>
          <w:rFonts w:ascii="Arial" w:hAnsi="Arial" w:cs="Arial"/>
          <w:sz w:val="24"/>
          <w:szCs w:val="24"/>
        </w:rPr>
        <w:t xml:space="preserve">                    </w:t>
      </w:r>
      <w:r w:rsidRPr="00C216CE">
        <w:rPr>
          <w:rFonts w:ascii="Arial" w:hAnsi="Arial" w:cs="Arial"/>
          <w:sz w:val="24"/>
          <w:szCs w:val="24"/>
        </w:rPr>
        <w:t xml:space="preserve">       </w:t>
      </w:r>
      <w:r w:rsidR="00C216CE">
        <w:rPr>
          <w:rFonts w:ascii="Arial" w:hAnsi="Arial" w:cs="Arial"/>
          <w:sz w:val="24"/>
          <w:szCs w:val="24"/>
        </w:rPr>
        <w:t xml:space="preserve"> </w:t>
      </w:r>
      <w:r w:rsidR="002302C3">
        <w:rPr>
          <w:rFonts w:ascii="Arial" w:hAnsi="Arial" w:cs="Arial"/>
          <w:sz w:val="24"/>
          <w:szCs w:val="24"/>
        </w:rPr>
        <w:t>В.Н.</w:t>
      </w:r>
      <w:proofErr w:type="gramStart"/>
      <w:r w:rsidR="002302C3">
        <w:rPr>
          <w:rFonts w:ascii="Arial" w:hAnsi="Arial" w:cs="Arial"/>
          <w:sz w:val="24"/>
          <w:szCs w:val="24"/>
        </w:rPr>
        <w:t>Ласточкин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         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2302C3" w:rsidRPr="00C216CE" w:rsidRDefault="002302C3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2302C3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2302C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Утверждено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решением </w:t>
      </w:r>
      <w:r w:rsidR="002302C3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сельского Совета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народных депутатов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 w:rsidR="002302C3">
        <w:rPr>
          <w:rFonts w:ascii="Arial" w:hAnsi="Arial" w:cs="Arial"/>
          <w:sz w:val="24"/>
          <w:szCs w:val="24"/>
        </w:rPr>
        <w:t>09.07</w:t>
      </w:r>
      <w:r w:rsidRPr="00C216CE">
        <w:rPr>
          <w:rFonts w:ascii="Arial" w:hAnsi="Arial" w:cs="Arial"/>
          <w:sz w:val="24"/>
          <w:szCs w:val="24"/>
        </w:rPr>
        <w:t>.201</w:t>
      </w:r>
      <w:r w:rsidR="002302C3">
        <w:rPr>
          <w:rFonts w:ascii="Arial" w:hAnsi="Arial" w:cs="Arial"/>
          <w:sz w:val="24"/>
          <w:szCs w:val="24"/>
        </w:rPr>
        <w:t>5</w:t>
      </w:r>
      <w:r w:rsidRPr="00C216CE">
        <w:rPr>
          <w:rFonts w:ascii="Arial" w:hAnsi="Arial" w:cs="Arial"/>
          <w:sz w:val="24"/>
          <w:szCs w:val="24"/>
        </w:rPr>
        <w:t xml:space="preserve"> г. № </w:t>
      </w:r>
      <w:r w:rsidR="002A3F2C">
        <w:rPr>
          <w:rFonts w:ascii="Arial" w:hAnsi="Arial" w:cs="Arial"/>
          <w:sz w:val="24"/>
          <w:szCs w:val="24"/>
        </w:rPr>
        <w:t>155</w:t>
      </w:r>
      <w:r w:rsidRPr="00C216CE">
        <w:rPr>
          <w:rFonts w:ascii="Arial" w:hAnsi="Arial" w:cs="Arial"/>
          <w:sz w:val="24"/>
          <w:szCs w:val="24"/>
        </w:rPr>
        <w:t xml:space="preserve"> 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Положение</w:t>
      </w:r>
    </w:p>
    <w:p w:rsidR="00301595" w:rsidRPr="00C216CE" w:rsidRDefault="00C216CE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301595" w:rsidRPr="00C216CE">
        <w:rPr>
          <w:rFonts w:ascii="Arial" w:hAnsi="Arial" w:cs="Arial"/>
          <w:b/>
          <w:sz w:val="24"/>
          <w:szCs w:val="24"/>
        </w:rPr>
        <w:t xml:space="preserve"> порядке рассмотрения заявок сельскохозяйственных организаций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</w:t>
      </w:r>
    </w:p>
    <w:p w:rsidR="00301595" w:rsidRPr="00C216CE" w:rsidRDefault="002A3F2C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</w:t>
      </w:r>
      <w:r w:rsidR="00C216CE">
        <w:rPr>
          <w:rFonts w:ascii="Arial" w:hAnsi="Arial" w:cs="Arial"/>
          <w:b/>
          <w:sz w:val="24"/>
          <w:szCs w:val="24"/>
        </w:rPr>
        <w:t>ского</w:t>
      </w:r>
      <w:r w:rsidR="00301595" w:rsidRPr="00C216C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Общие положения.</w:t>
      </w:r>
    </w:p>
    <w:p w:rsidR="00301595" w:rsidRPr="00C216CE" w:rsidRDefault="00301595" w:rsidP="00301595">
      <w:pPr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16CE">
        <w:rPr>
          <w:rFonts w:ascii="Arial" w:hAnsi="Arial" w:cs="Arial"/>
          <w:sz w:val="24"/>
          <w:szCs w:val="24"/>
        </w:rPr>
        <w:t xml:space="preserve">1.1.Настоящее Положение определяет порядок рассмотрения заявок и принятия решений о продаже земельных долей, находящихся в собственности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Земельные доли предоставляются сельскохозяйственной организации или крестьянскому (фермерскому) хозяйству в собственность,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2.</w:t>
      </w:r>
      <w:r w:rsidR="002A3F2C">
        <w:rPr>
          <w:rFonts w:ascii="Arial" w:hAnsi="Arial" w:cs="Arial"/>
          <w:b/>
          <w:sz w:val="24"/>
          <w:szCs w:val="24"/>
        </w:rPr>
        <w:t xml:space="preserve"> </w:t>
      </w:r>
      <w:r w:rsidRPr="00C216CE">
        <w:rPr>
          <w:rFonts w:ascii="Arial" w:hAnsi="Arial" w:cs="Arial"/>
          <w:b/>
          <w:sz w:val="24"/>
          <w:szCs w:val="24"/>
        </w:rPr>
        <w:t>Порядок рассмотрения заявок сельскохозяйственных организаций и крестьянских (фермерских) хозяйств и принятия решений  о продаже земельных долей, использующим земельный участок, находящийся в долевой собственности.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2.1.   В течение шести месяцев со дня возникновения права муниципальной собственности на земельную долю Администрация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опубликовывает в газете «Орловская правда» и размещает на информационных досках сельского поселения информацию о возможности приобретения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2.3. Лица, заинтересованные в предоставлении земельной доли, подают заявление в администрацию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на имя Главы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(далее Главе поселения).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К заявлению прилагаются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- копии документов, удостоверяющих личность гражданина или  подтверждающих регистрацию юридического лица.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lastRenderedPageBreak/>
        <w:t>- документы, подтверждающие использование земельного участка, в котором планируется осуществить продажу земельных долей.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216CE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за счёт земельных долей, выделенных гражданам в результате приватизации земель сельскохозяйственного назначения.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ab/>
        <w:t>При одновременном обращении двух или нескольких заявителей в адрес администрации, с учётом имеющихся площадей,  распределение земельных долей в рамках действующего законодательства будет происходить  пропорционально обрабатываемых площадей.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2.3.1. Уполномоченный специалист Администрации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 xml:space="preserve">ского </w:t>
      </w:r>
      <w:r w:rsidRPr="00C216CE">
        <w:rPr>
          <w:rFonts w:ascii="Arial" w:hAnsi="Arial" w:cs="Arial"/>
          <w:sz w:val="24"/>
          <w:szCs w:val="24"/>
        </w:rPr>
        <w:t xml:space="preserve">сельского поселения принимает заявления и передает главе поселения для рассмотрения.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2.4. В течение тридцати дней администрацией рассматриваются поступившие заявления, и принимается решение  о продаже данной земельной доли,  подготавливается проект постановления. Подготовленный проект передаётся Главе поселения для принятия решения о продаже или отказе в предоставлени</w:t>
      </w:r>
      <w:r w:rsidR="002A3F2C">
        <w:rPr>
          <w:rFonts w:ascii="Arial" w:hAnsi="Arial" w:cs="Arial"/>
          <w:sz w:val="24"/>
          <w:szCs w:val="24"/>
        </w:rPr>
        <w:t>и</w:t>
      </w:r>
      <w:r w:rsidRPr="00C216CE">
        <w:rPr>
          <w:rFonts w:ascii="Arial" w:hAnsi="Arial" w:cs="Arial"/>
          <w:sz w:val="24"/>
          <w:szCs w:val="24"/>
        </w:rPr>
        <w:t xml:space="preserve"> данной земельной доли. Право приобретения данной земельной доли имеют сельскохозяйственн</w:t>
      </w:r>
      <w:r w:rsidR="002A3F2C">
        <w:rPr>
          <w:rFonts w:ascii="Arial" w:hAnsi="Arial" w:cs="Arial"/>
          <w:sz w:val="24"/>
          <w:szCs w:val="24"/>
        </w:rPr>
        <w:t>ые</w:t>
      </w:r>
      <w:r w:rsidRPr="00C216CE">
        <w:rPr>
          <w:rFonts w:ascii="Arial" w:hAnsi="Arial" w:cs="Arial"/>
          <w:sz w:val="24"/>
          <w:szCs w:val="24"/>
        </w:rPr>
        <w:t xml:space="preserve"> организаци</w:t>
      </w:r>
      <w:r w:rsidR="002A3F2C">
        <w:rPr>
          <w:rFonts w:ascii="Arial" w:hAnsi="Arial" w:cs="Arial"/>
          <w:sz w:val="24"/>
          <w:szCs w:val="24"/>
        </w:rPr>
        <w:t>и</w:t>
      </w:r>
      <w:r w:rsidRPr="00C216CE">
        <w:rPr>
          <w:rFonts w:ascii="Arial" w:hAnsi="Arial" w:cs="Arial"/>
          <w:sz w:val="24"/>
          <w:szCs w:val="24"/>
        </w:rPr>
        <w:t xml:space="preserve"> или крестьянские (фермерские) хозяйства, использующие земельный участок,  находящийся в долевой собственности и обратившиеся в шести месячный срок со дня регистрации права собственности на данную земельную долю за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 xml:space="preserve">ским </w:t>
      </w:r>
      <w:r w:rsidRPr="00C216CE">
        <w:rPr>
          <w:rFonts w:ascii="Arial" w:hAnsi="Arial" w:cs="Arial"/>
          <w:sz w:val="24"/>
          <w:szCs w:val="24"/>
        </w:rPr>
        <w:t xml:space="preserve">  сельским поселением.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2.5. Главой поселения, на основании поступивших документов, принимается постановление администрации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2.6. В случае предоставления земельной доли на основании постановления администрации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подготавливается договор купли-продажи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2.7. Готовое постановление администрации 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</w:t>
      </w:r>
      <w:r w:rsidRPr="00C216CE">
        <w:rPr>
          <w:rStyle w:val="FontStyle11"/>
          <w:rFonts w:ascii="Arial" w:hAnsi="Arial" w:cs="Arial"/>
          <w:sz w:val="24"/>
          <w:szCs w:val="24"/>
        </w:rPr>
        <w:t xml:space="preserve"> в недельный срок с момента принятия соответствующего решения.</w:t>
      </w:r>
      <w:r w:rsidRPr="00C216CE">
        <w:rPr>
          <w:rFonts w:ascii="Arial" w:hAnsi="Arial" w:cs="Arial"/>
          <w:sz w:val="24"/>
          <w:szCs w:val="24"/>
        </w:rPr>
        <w:t xml:space="preserve">  </w:t>
      </w:r>
      <w:r w:rsidRPr="00C216CE">
        <w:rPr>
          <w:rStyle w:val="FontStyle11"/>
          <w:rFonts w:ascii="Arial" w:hAnsi="Arial" w:cs="Arial"/>
          <w:sz w:val="24"/>
          <w:szCs w:val="24"/>
        </w:rPr>
        <w:t>Передача земельной доли покупателю осуществляется по акту приема-передачи после оплаты цены земельной доли. При не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 Администрация сельского поселения вправе принять решение об отмене решения о продаже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2.8. Государственная регистрация  права на земельную долю 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2.9. В случае отказа в предоставлении земельной доли, администрацией в недельный срок подготавливается письменный ответ заявителю об отказе в </w:t>
      </w:r>
      <w:r w:rsidRPr="00C216CE">
        <w:rPr>
          <w:rFonts w:ascii="Arial" w:hAnsi="Arial" w:cs="Arial"/>
          <w:sz w:val="24"/>
          <w:szCs w:val="24"/>
        </w:rPr>
        <w:lastRenderedPageBreak/>
        <w:t>предоставлении данной земельной доли с обоснованием причин и направляется с уведомлением по почте или вручается лично под роспись.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C216CE">
        <w:rPr>
          <w:rFonts w:ascii="Arial" w:hAnsi="Arial" w:cs="Arial"/>
          <w:sz w:val="24"/>
          <w:szCs w:val="24"/>
        </w:rPr>
        <w:t xml:space="preserve">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 xml:space="preserve">ского </w:t>
      </w:r>
      <w:r w:rsidRPr="00C216CE">
        <w:rPr>
          <w:rFonts w:ascii="Arial" w:hAnsi="Arial" w:cs="Arial"/>
          <w:sz w:val="24"/>
          <w:szCs w:val="24"/>
        </w:rPr>
        <w:t xml:space="preserve">сельского поселения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 </w:t>
      </w:r>
      <w:r w:rsidR="002A3F2C">
        <w:rPr>
          <w:rFonts w:ascii="Arial" w:hAnsi="Arial" w:cs="Arial"/>
          <w:sz w:val="24"/>
          <w:szCs w:val="24"/>
        </w:rPr>
        <w:t>Николь</w:t>
      </w:r>
      <w:r w:rsidR="00C216CE">
        <w:rPr>
          <w:rFonts w:ascii="Arial" w:hAnsi="Arial" w:cs="Arial"/>
          <w:sz w:val="24"/>
          <w:szCs w:val="24"/>
        </w:rPr>
        <w:t>ского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в течение года, с момента возникновения права муниципальной собственности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на данную земельную долю, </w:t>
      </w:r>
      <w:proofErr w:type="gramStart"/>
      <w:r w:rsidRPr="00C216CE">
        <w:rPr>
          <w:rFonts w:ascii="Arial" w:hAnsi="Arial" w:cs="Arial"/>
          <w:sz w:val="24"/>
          <w:szCs w:val="24"/>
        </w:rPr>
        <w:t>обязана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выделить земельный участок, в счёт принадлежащих ей земельной доли или земельных долей, при условии не нарушения при этом требований к образуемым  земельным участкам.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rPr>
          <w:rFonts w:ascii="Arial" w:hAnsi="Arial" w:cs="Arial"/>
          <w:sz w:val="24"/>
          <w:szCs w:val="24"/>
        </w:rPr>
      </w:pPr>
    </w:p>
    <w:p w:rsidR="00D53AA3" w:rsidRPr="00C216CE" w:rsidRDefault="0004576A" w:rsidP="0004576A">
      <w:pPr>
        <w:tabs>
          <w:tab w:val="left" w:pos="5790"/>
        </w:tabs>
        <w:rPr>
          <w:rStyle w:val="FontStyle14"/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ab/>
      </w:r>
    </w:p>
    <w:sectPr w:rsidR="00D53AA3" w:rsidRPr="00C216C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534625"/>
    <w:multiLevelType w:val="hybridMultilevel"/>
    <w:tmpl w:val="C0DE7ED6"/>
    <w:lvl w:ilvl="0" w:tplc="36E2F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95"/>
    <w:rsid w:val="0004576A"/>
    <w:rsid w:val="00047B5C"/>
    <w:rsid w:val="002302C3"/>
    <w:rsid w:val="00235455"/>
    <w:rsid w:val="00273795"/>
    <w:rsid w:val="002A3F2C"/>
    <w:rsid w:val="00301595"/>
    <w:rsid w:val="00321659"/>
    <w:rsid w:val="003459F6"/>
    <w:rsid w:val="00484154"/>
    <w:rsid w:val="004A5DAE"/>
    <w:rsid w:val="005D4AAD"/>
    <w:rsid w:val="00605D0A"/>
    <w:rsid w:val="00627B61"/>
    <w:rsid w:val="00864435"/>
    <w:rsid w:val="00932EFF"/>
    <w:rsid w:val="009D731D"/>
    <w:rsid w:val="00A84BBF"/>
    <w:rsid w:val="00C216CE"/>
    <w:rsid w:val="00D379C7"/>
    <w:rsid w:val="00D53AA3"/>
    <w:rsid w:val="00DA1C92"/>
    <w:rsid w:val="00DC6C04"/>
    <w:rsid w:val="00E5707F"/>
    <w:rsid w:val="00E620A7"/>
    <w:rsid w:val="00E77609"/>
    <w:rsid w:val="00EB0E41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73795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273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3795"/>
    <w:pPr>
      <w:spacing w:after="120"/>
    </w:pPr>
  </w:style>
  <w:style w:type="character" w:customStyle="1" w:styleId="a4">
    <w:name w:val="Основной текст Знак"/>
    <w:basedOn w:val="a0"/>
    <w:link w:val="a3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3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73795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F75A2A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F75A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iewtitle">
    <w:name w:val="view_title"/>
    <w:basedOn w:val="a"/>
    <w:rsid w:val="00D53AA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D53A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D53AA3"/>
    <w:rPr>
      <w:b/>
      <w:bCs/>
    </w:rPr>
  </w:style>
  <w:style w:type="paragraph" w:customStyle="1" w:styleId="Style3">
    <w:name w:val="Style3"/>
    <w:basedOn w:val="a"/>
    <w:rsid w:val="00D53A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53AA3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6">
    <w:name w:val="Style6"/>
    <w:basedOn w:val="a"/>
    <w:rsid w:val="00D53AA3"/>
    <w:pPr>
      <w:widowControl w:val="0"/>
      <w:autoSpaceDE w:val="0"/>
      <w:autoSpaceDN w:val="0"/>
      <w:adjustRightInd w:val="0"/>
      <w:spacing w:line="314" w:lineRule="exact"/>
      <w:ind w:firstLine="730"/>
    </w:pPr>
    <w:rPr>
      <w:sz w:val="24"/>
      <w:szCs w:val="24"/>
    </w:rPr>
  </w:style>
  <w:style w:type="paragraph" w:customStyle="1" w:styleId="Style7">
    <w:name w:val="Style7"/>
    <w:basedOn w:val="a"/>
    <w:rsid w:val="00D53AA3"/>
    <w:pPr>
      <w:widowControl w:val="0"/>
      <w:autoSpaceDE w:val="0"/>
      <w:autoSpaceDN w:val="0"/>
      <w:adjustRightInd w:val="0"/>
      <w:spacing w:line="319" w:lineRule="exact"/>
      <w:ind w:hanging="341"/>
    </w:pPr>
    <w:rPr>
      <w:sz w:val="24"/>
      <w:szCs w:val="24"/>
    </w:rPr>
  </w:style>
  <w:style w:type="character" w:customStyle="1" w:styleId="FontStyle14">
    <w:name w:val="Font Style14"/>
    <w:basedOn w:val="a0"/>
    <w:rsid w:val="00D53AA3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D53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0159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2015-07-03T05:45:00Z</cp:lastPrinted>
  <dcterms:created xsi:type="dcterms:W3CDTF">2015-07-02T06:24:00Z</dcterms:created>
  <dcterms:modified xsi:type="dcterms:W3CDTF">2015-07-30T06:19:00Z</dcterms:modified>
</cp:coreProperties>
</file>